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16CA" w14:textId="77777777" w:rsidR="00B60277" w:rsidRPr="00DD3B40" w:rsidRDefault="00B60277" w:rsidP="00852C9F">
      <w:pPr>
        <w:spacing w:after="0" w:line="360" w:lineRule="auto"/>
        <w:ind w:left="0" w:hanging="2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DD3B40">
        <w:rPr>
          <w:rFonts w:ascii="Century Gothic" w:hAnsi="Century Gothic"/>
          <w:b/>
          <w:sz w:val="24"/>
          <w:szCs w:val="24"/>
          <w:u w:val="single"/>
        </w:rPr>
        <w:t>DECISÃO ADMINISTRATIVA</w:t>
      </w:r>
    </w:p>
    <w:p w14:paraId="1A5B37F9" w14:textId="77777777" w:rsidR="00B60277" w:rsidRPr="00DD3B40" w:rsidRDefault="00B60277" w:rsidP="00852C9F">
      <w:pPr>
        <w:spacing w:after="0" w:line="360" w:lineRule="auto"/>
        <w:ind w:left="0" w:hanging="2"/>
        <w:jc w:val="center"/>
        <w:rPr>
          <w:rFonts w:ascii="Century Gothic" w:hAnsi="Century Gothic"/>
          <w:b/>
          <w:sz w:val="24"/>
          <w:szCs w:val="24"/>
        </w:rPr>
      </w:pPr>
    </w:p>
    <w:p w14:paraId="7041911B" w14:textId="42ABB0B4" w:rsidR="00D92560" w:rsidRPr="00D92560" w:rsidRDefault="00D92560" w:rsidP="00D92560">
      <w:pPr>
        <w:spacing w:after="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D92560">
        <w:rPr>
          <w:rFonts w:ascii="Century Gothic" w:hAnsi="Century Gothic"/>
          <w:sz w:val="24"/>
          <w:szCs w:val="24"/>
        </w:rPr>
        <w:t xml:space="preserve">PROCESSO </w:t>
      </w:r>
      <w:r w:rsidR="0050524E">
        <w:rPr>
          <w:rFonts w:ascii="Century Gothic" w:hAnsi="Century Gothic"/>
          <w:sz w:val="24"/>
          <w:szCs w:val="24"/>
        </w:rPr>
        <w:t xml:space="preserve">LICITATÓRIO </w:t>
      </w:r>
      <w:r w:rsidRPr="00D92560">
        <w:rPr>
          <w:rFonts w:ascii="Century Gothic" w:hAnsi="Century Gothic"/>
          <w:sz w:val="24"/>
          <w:szCs w:val="24"/>
        </w:rPr>
        <w:t>Nº 0</w:t>
      </w:r>
      <w:r w:rsidR="0050524E">
        <w:rPr>
          <w:rFonts w:ascii="Century Gothic" w:hAnsi="Century Gothic"/>
          <w:sz w:val="24"/>
          <w:szCs w:val="24"/>
        </w:rPr>
        <w:t>2</w:t>
      </w:r>
      <w:r w:rsidR="00B54BD7">
        <w:rPr>
          <w:rFonts w:ascii="Century Gothic" w:hAnsi="Century Gothic"/>
          <w:sz w:val="24"/>
          <w:szCs w:val="24"/>
        </w:rPr>
        <w:t>3</w:t>
      </w:r>
      <w:r w:rsidRPr="00D92560">
        <w:rPr>
          <w:rFonts w:ascii="Century Gothic" w:hAnsi="Century Gothic"/>
          <w:sz w:val="24"/>
          <w:szCs w:val="24"/>
        </w:rPr>
        <w:t>/2024</w:t>
      </w:r>
    </w:p>
    <w:p w14:paraId="7F9FBA32" w14:textId="02971B2D" w:rsidR="00D92560" w:rsidRDefault="00B54BD7" w:rsidP="00D92560">
      <w:pPr>
        <w:spacing w:after="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CONCORRÊNCIA ELETRÔNICA</w:t>
      </w:r>
      <w:r w:rsidR="00D92560" w:rsidRPr="00D92560">
        <w:rPr>
          <w:rFonts w:ascii="Century Gothic" w:hAnsi="Century Gothic"/>
          <w:sz w:val="24"/>
          <w:szCs w:val="24"/>
        </w:rPr>
        <w:t xml:space="preserve"> Nº </w:t>
      </w:r>
      <w:r w:rsidR="0050524E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>3</w:t>
      </w:r>
      <w:r w:rsidR="00D92560" w:rsidRPr="00D92560">
        <w:rPr>
          <w:rFonts w:ascii="Century Gothic" w:hAnsi="Century Gothic"/>
          <w:sz w:val="24"/>
          <w:szCs w:val="24"/>
        </w:rPr>
        <w:t xml:space="preserve">/2024 </w:t>
      </w:r>
    </w:p>
    <w:p w14:paraId="171269D9" w14:textId="3DBA0147" w:rsidR="00DD3B40" w:rsidRPr="00DD3B40" w:rsidRDefault="00D92560" w:rsidP="00DA7337">
      <w:pPr>
        <w:spacing w:after="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D92560">
        <w:rPr>
          <w:rFonts w:ascii="Century Gothic" w:hAnsi="Century Gothic"/>
          <w:sz w:val="24"/>
          <w:szCs w:val="24"/>
        </w:rPr>
        <w:t>OBJETO: “</w:t>
      </w:r>
      <w:r w:rsidR="00B54BD7" w:rsidRPr="00B54BD7">
        <w:rPr>
          <w:rFonts w:ascii="Century Gothic" w:hAnsi="Century Gothic"/>
          <w:sz w:val="24"/>
          <w:szCs w:val="24"/>
        </w:rPr>
        <w:t>CONTRATAÇÃO DE EMPRESA ESPECIALIZADA PARA EXECUÇÃO DE OBRA REFERENTE À CONSTRUÇÃO DA UNIDADE BÁSICA DE SAÚDE – UBS TIPO I, COM ÁREA TOTAL DE 466,18M², SITUADA A RUA JOSÉ BRASILEIRO DOS SANTOS, SN, BAIRRO RESIDENCIAL SANTA CRUZ, NOS TERMOS DA RESOLUÇÃO SES-MG N° 8.753, DE 16 DE MAIO DE 2023, COM REPASSE FIRMADO ENTRE A SECRETARIA DE ESTADO DE SAÚDE DE MINAS GERAIS E O MUNICÍPIO DE DORES DO INDAIÁ-MG, NAS QUALIDADES E CONDIÇÕES DE EXECUÇÃO DESCRITAS NESTE EDITAL E ANEXOS</w:t>
      </w:r>
      <w:r w:rsidRPr="00D92560">
        <w:rPr>
          <w:rFonts w:ascii="Century Gothic" w:hAnsi="Century Gothic"/>
          <w:sz w:val="24"/>
          <w:szCs w:val="24"/>
        </w:rPr>
        <w:t>.”</w:t>
      </w:r>
    </w:p>
    <w:p w14:paraId="64B663FA" w14:textId="77777777" w:rsidR="00D92560" w:rsidRDefault="00D92560" w:rsidP="00852C9F">
      <w:pPr>
        <w:spacing w:after="0" w:line="360" w:lineRule="auto"/>
        <w:ind w:left="0" w:hanging="2"/>
        <w:jc w:val="both"/>
        <w:rPr>
          <w:rFonts w:ascii="Century Gothic" w:hAnsi="Century Gothic"/>
          <w:b/>
          <w:sz w:val="24"/>
          <w:szCs w:val="24"/>
        </w:rPr>
      </w:pPr>
    </w:p>
    <w:p w14:paraId="734A93D7" w14:textId="2DB71BE8" w:rsidR="00B60277" w:rsidRPr="00DD3B40" w:rsidRDefault="00B60277" w:rsidP="00852C9F">
      <w:pPr>
        <w:spacing w:after="0" w:line="360" w:lineRule="auto"/>
        <w:ind w:left="0" w:hanging="2"/>
        <w:jc w:val="both"/>
        <w:rPr>
          <w:rFonts w:ascii="Century Gothic" w:hAnsi="Century Gothic"/>
          <w:b/>
          <w:sz w:val="24"/>
          <w:szCs w:val="24"/>
        </w:rPr>
      </w:pPr>
      <w:r w:rsidRPr="00DD3B40">
        <w:rPr>
          <w:rFonts w:ascii="Century Gothic" w:hAnsi="Century Gothic"/>
          <w:b/>
          <w:sz w:val="24"/>
          <w:szCs w:val="24"/>
        </w:rPr>
        <w:t xml:space="preserve">I - DOS FATOS </w:t>
      </w:r>
    </w:p>
    <w:p w14:paraId="4C361DB4" w14:textId="77777777" w:rsidR="00852C9F" w:rsidRPr="00DD3B40" w:rsidRDefault="00852C9F" w:rsidP="00852C9F">
      <w:pPr>
        <w:spacing w:after="0" w:line="360" w:lineRule="auto"/>
        <w:ind w:left="-2" w:firstLineChars="235" w:firstLine="566"/>
        <w:jc w:val="both"/>
        <w:rPr>
          <w:rFonts w:ascii="Century Gothic" w:hAnsi="Century Gothic"/>
          <w:b/>
          <w:sz w:val="24"/>
          <w:szCs w:val="24"/>
        </w:rPr>
      </w:pPr>
    </w:p>
    <w:p w14:paraId="5C4FE6D1" w14:textId="19926037" w:rsidR="00D92560" w:rsidRDefault="00D92560" w:rsidP="00DB4ED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D9256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Trata-se de </w:t>
      </w:r>
      <w:r w:rsidR="00FA7D94" w:rsidRPr="00FA7D94">
        <w:rPr>
          <w:rFonts w:ascii="Century Gothic" w:eastAsia="Times New Roman" w:hAnsi="Century Gothic" w:cs="Times New Roman"/>
          <w:position w:val="0"/>
          <w:sz w:val="24"/>
          <w:szCs w:val="24"/>
          <w:u w:val="single"/>
          <w:lang w:eastAsia="pt-BR"/>
        </w:rPr>
        <w:t>recurso</w:t>
      </w:r>
      <w:r w:rsidR="00B54BD7">
        <w:rPr>
          <w:rFonts w:ascii="Century Gothic" w:eastAsia="Times New Roman" w:hAnsi="Century Gothic" w:cs="Times New Roman"/>
          <w:position w:val="0"/>
          <w:sz w:val="24"/>
          <w:szCs w:val="24"/>
          <w:u w:val="single"/>
          <w:lang w:eastAsia="pt-BR"/>
        </w:rPr>
        <w:t>s</w:t>
      </w:r>
      <w:r w:rsidR="00FA7D94" w:rsidRPr="00FA7D94">
        <w:rPr>
          <w:rFonts w:ascii="Century Gothic" w:eastAsia="Times New Roman" w:hAnsi="Century Gothic" w:cs="Times New Roman"/>
          <w:position w:val="0"/>
          <w:sz w:val="24"/>
          <w:szCs w:val="24"/>
          <w:u w:val="single"/>
          <w:lang w:eastAsia="pt-BR"/>
        </w:rPr>
        <w:t xml:space="preserve"> administrativo</w:t>
      </w:r>
      <w:r w:rsidR="00B54BD7">
        <w:rPr>
          <w:rFonts w:ascii="Century Gothic" w:eastAsia="Times New Roman" w:hAnsi="Century Gothic" w:cs="Times New Roman"/>
          <w:position w:val="0"/>
          <w:sz w:val="24"/>
          <w:szCs w:val="24"/>
          <w:u w:val="single"/>
          <w:lang w:eastAsia="pt-BR"/>
        </w:rPr>
        <w:t>s</w:t>
      </w:r>
      <w:r w:rsidRPr="00D9256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  <w:r w:rsidR="00B54BD7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da Concorrência Eletrônica nº 03/2024, que tem como objeto a </w:t>
      </w:r>
      <w:r w:rsidR="00A15AE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“</w:t>
      </w:r>
      <w:r w:rsidR="00B54BD7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contratação de empresa especializada para execução de obra referente a construção da Unidade Básica de Saúde – UBS Tipo I, </w:t>
      </w:r>
      <w:r w:rsidR="00A15AE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com área total de 466,18m², situada a Rua José Brasileiro dos Santos, S/N, Bairro Residencial Santa Cruz, nos termos da Resolução SES-MG nº 8.753, de 16 de maio de 2023, com repasse firmado entre a Secretaria de Estado de Saúde de Minas Gerais e o Município de Dores do Indaiá-MG, nas qualidades e condições de execução descritas neste edital e anexos”</w:t>
      </w:r>
      <w:r w:rsidRPr="00D9256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, </w:t>
      </w:r>
      <w:r w:rsidR="00DB4EDC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interposto</w:t>
      </w:r>
      <w:r w:rsidRPr="00D9256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pela empresa </w:t>
      </w:r>
      <w:r w:rsidR="00A15AE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BARROS BITTERNCOURT EMPREENDIMENTO LTDA, </w:t>
      </w:r>
      <w:r w:rsidR="009C3138" w:rsidRPr="00DB4EDC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pessoa jurídica de direito privado inscrita no</w:t>
      </w:r>
      <w:r w:rsidR="009C3138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  <w:r w:rsidR="009C3138" w:rsidRPr="00DB4EDC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CNPJ sob o n</w:t>
      </w:r>
      <w:r w:rsidR="009C3138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º</w:t>
      </w:r>
      <w:r w:rsidR="009C3138" w:rsidRPr="00DB4EDC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  <w:r w:rsidR="009C3138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31.564.854/0001-24</w:t>
      </w:r>
      <w:r w:rsidR="00DB4EDC" w:rsidRPr="00DB4EDC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,</w:t>
      </w:r>
      <w:r w:rsidR="00DB4EDC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face </w:t>
      </w:r>
      <w:r w:rsidR="005643C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à</w:t>
      </w:r>
      <w:r w:rsidR="004F23D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decisão </w:t>
      </w:r>
      <w:r w:rsidR="005643C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do</w:t>
      </w:r>
      <w:r w:rsidR="004F23D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  <w:r w:rsidR="009C3138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agente de contratação</w:t>
      </w:r>
      <w:r w:rsidR="005643C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de declarar, como classificada, </w:t>
      </w:r>
      <w:r w:rsidR="005643CF" w:rsidRPr="005643C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a empresa URBANO ENGENHARIA E CONSTRUÇÕES LTDA vencedora do certame, ratificando a decisão anterior</w:t>
      </w:r>
      <w:r w:rsidR="002F09F4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.</w:t>
      </w:r>
    </w:p>
    <w:p w14:paraId="1F81E9E3" w14:textId="77777777" w:rsidR="005643CF" w:rsidRDefault="005643CF" w:rsidP="00DB4ED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55F66884" w14:textId="2CF32C62" w:rsidR="005643CF" w:rsidRDefault="005643CF" w:rsidP="00DB4ED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lastRenderedPageBreak/>
        <w:t xml:space="preserve">Isso porque, conforme consta na íntegra do processo administrativo, após apresentação de recursos administrativos </w:t>
      </w:r>
      <w:r w:rsidR="0002629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interpostos 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face a decisão de 22/05/2024, </w:t>
      </w:r>
      <w:r w:rsidR="0063182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o agente de contratação entendeu por manter e inabilitação da empresa ESTRUTURAL EDIFICAÇÕES E SERVIÇOS LTDA, bem como para inabilitar a empresa CONSTRUTORA </w:t>
      </w:r>
      <w:proofErr w:type="gramStart"/>
      <w:r w:rsidR="0063182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ÍGNEA  LTDA</w:t>
      </w:r>
      <w:proofErr w:type="gramEnd"/>
      <w:r w:rsidR="0063182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e, por fim, declarou como classificada a empresa URBANO ENGENHARIA E CONSTRUÇÕES LTDA.</w:t>
      </w:r>
    </w:p>
    <w:p w14:paraId="66B2D55A" w14:textId="77777777" w:rsidR="00631826" w:rsidRDefault="00631826" w:rsidP="00DB4ED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75AFBEA6" w14:textId="58605F47" w:rsidR="00631826" w:rsidRDefault="00631826" w:rsidP="00DB4ED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Ressalta-se que, </w:t>
      </w:r>
      <w:r w:rsidR="00F47A0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apenas 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após a decisão </w:t>
      </w:r>
      <w:r w:rsidR="00F47A0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datada de </w:t>
      </w:r>
      <w:r w:rsidR="00D87D07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11</w:t>
      </w:r>
      <w:r w:rsidR="00F47A0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/06/2024, é que </w:t>
      </w:r>
      <w:proofErr w:type="gramStart"/>
      <w:r w:rsidR="00F47A0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foi-se</w:t>
      </w:r>
      <w:proofErr w:type="gramEnd"/>
      <w:r w:rsidR="00F47A0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analisada a documentação referente a habilitação</w:t>
      </w:r>
      <w:r w:rsidR="0076479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da 3ª colocada</w:t>
      </w:r>
      <w:r w:rsidR="0002629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,</w:t>
      </w:r>
      <w:r w:rsidR="00F47A0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empresa URBANO ENGENHARIA E CONSTRUÇÕES LTDA, </w:t>
      </w:r>
      <w:r w:rsidR="0076479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decidindo a agente de contratação pela habilitação da licitante, </w:t>
      </w:r>
      <w:r w:rsidR="00F47A0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o que justifica a interposição e análise do recurso datado de 17/0</w:t>
      </w:r>
      <w:r w:rsid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6</w:t>
      </w:r>
      <w:r w:rsidR="00F47A0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/2024.</w:t>
      </w:r>
    </w:p>
    <w:p w14:paraId="30DBB59C" w14:textId="77777777" w:rsidR="009C3138" w:rsidRDefault="009C3138" w:rsidP="00DB4ED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2E3436CC" w14:textId="100352DD" w:rsidR="00F47A0E" w:rsidRDefault="009C3138" w:rsidP="00DB4ED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A </w:t>
      </w:r>
      <w:r w:rsidR="00F47A0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recorrente insurge contra a decisão do agente de contratação no ato de declarar a empresa URBANO ENGENHARIA E CONSTRUÇÕES LTDA</w:t>
      </w:r>
      <w:r w:rsid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classificada no certame, considerando a inabilitação da empresa 1ª colocada, alegando, em resumo, </w:t>
      </w:r>
      <w:r w:rsidR="00880CE3" w:rsidRP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que a empresa URBANO ENGENHARIA E CONSTRUÇÕES LTDA não apresentou, junto à sua proposta, o ANEXO II, qual seja, Modelo Sugestivo de Credenciamento. Aduz, ainda, que a</w:t>
      </w:r>
      <w:r w:rsid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referida</w:t>
      </w:r>
      <w:r w:rsidR="00880CE3" w:rsidRP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empresa apresentou as declarações contidas nos anexos V e VII sem a respectiva assinatura, tornando tais documentos inválidos perante o processo</w:t>
      </w:r>
      <w:r w:rsid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.</w:t>
      </w:r>
    </w:p>
    <w:p w14:paraId="1B02F1B8" w14:textId="77777777" w:rsidR="00880CE3" w:rsidRDefault="00880CE3" w:rsidP="00DB4ED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5AFFD651" w14:textId="1828358F" w:rsidR="00880CE3" w:rsidRDefault="00880CE3" w:rsidP="00DB4ED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Por fim, question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ou</w:t>
      </w:r>
      <w:r w:rsidRP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a comprovação da capacidade técnica da empresa URBANO ENGENHARIA E CONSTRUÇÕES LTDA, alegando, em suma, que foi exigido a comprovação da execução de 5.593,92 quilogramas de estrutura metálica para </w:t>
      </w:r>
      <w:proofErr w:type="spellStart"/>
      <w:r w:rsidRP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engrandamento</w:t>
      </w:r>
      <w:proofErr w:type="spellEnd"/>
      <w:r w:rsidRP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em aço para telhado, sendo que os </w:t>
      </w:r>
      <w:r w:rsidRP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lastRenderedPageBreak/>
        <w:t>atestados da empresa recorrida se referiram na unidade metro quadrado, de forma a não comprovar a execução dos serviços em questão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.</w:t>
      </w:r>
    </w:p>
    <w:p w14:paraId="29080E08" w14:textId="663576C5" w:rsidR="00801C62" w:rsidRDefault="00880CE3" w:rsidP="00D92560">
      <w:pPr>
        <w:spacing w:after="0" w:line="360" w:lineRule="auto"/>
        <w:ind w:leftChars="0" w:left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Não foram apresentadas</w:t>
      </w:r>
      <w:r w:rsidR="00801C62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contrarrazões.</w:t>
      </w:r>
    </w:p>
    <w:p w14:paraId="4D513A96" w14:textId="77777777" w:rsidR="00801C62" w:rsidRDefault="00801C62" w:rsidP="00D92560">
      <w:pPr>
        <w:spacing w:after="0" w:line="360" w:lineRule="auto"/>
        <w:ind w:leftChars="0" w:left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5C692D85" w14:textId="4B5F7B3F" w:rsidR="00DD3B40" w:rsidRDefault="00D92560" w:rsidP="00D92560">
      <w:pPr>
        <w:spacing w:after="0" w:line="360" w:lineRule="auto"/>
        <w:ind w:leftChars="0" w:left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D9256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É o breve relato.</w:t>
      </w:r>
    </w:p>
    <w:p w14:paraId="34385F24" w14:textId="77777777" w:rsidR="00D92560" w:rsidRDefault="00D92560" w:rsidP="00D92560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b/>
          <w:bCs/>
          <w:position w:val="0"/>
          <w:sz w:val="24"/>
          <w:szCs w:val="24"/>
          <w:lang w:eastAsia="pt-BR"/>
        </w:rPr>
      </w:pPr>
    </w:p>
    <w:p w14:paraId="54CC16CD" w14:textId="4C780A85" w:rsidR="00D92560" w:rsidRPr="00D92560" w:rsidRDefault="00D92560" w:rsidP="00D92560">
      <w:pPr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b/>
          <w:bCs/>
          <w:position w:val="0"/>
          <w:sz w:val="24"/>
          <w:szCs w:val="24"/>
          <w:lang w:eastAsia="pt-BR"/>
        </w:rPr>
      </w:pPr>
      <w:r w:rsidRPr="00D92560">
        <w:rPr>
          <w:rFonts w:ascii="Century Gothic" w:eastAsia="Times New Roman" w:hAnsi="Century Gothic" w:cs="Times New Roman"/>
          <w:b/>
          <w:bCs/>
          <w:position w:val="0"/>
          <w:sz w:val="24"/>
          <w:szCs w:val="24"/>
          <w:lang w:eastAsia="pt-BR"/>
        </w:rPr>
        <w:t>II – DOS FUNDAMENTOS</w:t>
      </w:r>
    </w:p>
    <w:p w14:paraId="2016FF10" w14:textId="77777777" w:rsidR="00D92560" w:rsidRPr="00DD3B40" w:rsidRDefault="00D92560" w:rsidP="00D92560">
      <w:pPr>
        <w:spacing w:after="0" w:line="360" w:lineRule="auto"/>
        <w:ind w:leftChars="0" w:left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162EBD30" w14:textId="5F7F42A7" w:rsidR="007101FF" w:rsidRDefault="00D92560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D9256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Pr</w:t>
      </w:r>
      <w:r w:rsidR="00CE3807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eliminarmente</w:t>
      </w:r>
      <w:r w:rsidRPr="00D9256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, em relação </w:t>
      </w:r>
      <w:r w:rsidR="007101FF" w:rsidRPr="00D9256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à</w:t>
      </w:r>
      <w:r w:rsidRPr="00D9256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  <w:r w:rsidR="007101F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tempestividade, o recurso apresentado pela empresa </w:t>
      </w:r>
      <w:r w:rsidR="00AE6B6B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BARROS BITTERNCOURT EMPREENDIMENTO LTDA </w:t>
      </w:r>
      <w:r w:rsidR="0028474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foi apresentado dentro do prazo estabelecido no edital e na lei de licitações.</w:t>
      </w:r>
    </w:p>
    <w:p w14:paraId="0ACF8711" w14:textId="77777777" w:rsidR="0028474E" w:rsidRDefault="0028474E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51ED1A80" w14:textId="739CA2CB" w:rsidR="00B34AAA" w:rsidRDefault="00B34AAA" w:rsidP="00B34AAA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Pois bem, antes de adentrarmos aos questionamentos em si é importante mencionar que o presente edital já foi publicado sob a égide da Lei 14.133/2.021, motivo pelo qual deve ser analisado de acordo com o referido ditame legal.</w:t>
      </w:r>
    </w:p>
    <w:p w14:paraId="25192D57" w14:textId="77777777" w:rsidR="00B34AAA" w:rsidRDefault="00B34AAA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1320F135" w14:textId="2505C1C1" w:rsidR="0028474E" w:rsidRDefault="00082D7E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Ultrapassado questão atinente aos requisitos formais das razões recursais apresentadas pelas empresas, passemos a</w:t>
      </w:r>
      <w:r w:rsidR="00CC768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análise de mérito, em tópicos, para melhores esclarecimentos.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</w:p>
    <w:p w14:paraId="302CE8E5" w14:textId="77777777" w:rsidR="00AE6B6B" w:rsidRDefault="00AE6B6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45EF6611" w14:textId="22D1E073" w:rsidR="00AE6B6B" w:rsidRDefault="00AE6B6B" w:rsidP="0002629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Inicialmente, em relação </w:t>
      </w:r>
      <w:r w:rsidR="0002629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à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ausência de apresentação do Anexo II, bem como a falta de assinatura dos Anexos V e VII</w:t>
      </w:r>
      <w:r w:rsidR="00B04EA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, importante registrar que</w:t>
      </w:r>
      <w:r w:rsidR="0002629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o presente processo de licitação</w:t>
      </w:r>
      <w:r w:rsidR="00B04EA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se </w:t>
      </w:r>
      <w:r w:rsidR="0002629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trata </w:t>
      </w:r>
      <w:r w:rsidR="00B04EA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de procedimento ocorrido em seu formato eletrônico, sendo que os atos são formalizados mediante plataforma </w:t>
      </w:r>
      <w:r w:rsidR="00D87D07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AMM Licita</w:t>
      </w:r>
      <w:r w:rsidR="00B04EA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.</w:t>
      </w:r>
    </w:p>
    <w:p w14:paraId="7CD2B4D2" w14:textId="77777777" w:rsidR="00B04EAF" w:rsidRDefault="00B04EA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0E820864" w14:textId="449F981D" w:rsidR="00B04EAF" w:rsidRDefault="00B04EA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lastRenderedPageBreak/>
        <w:t xml:space="preserve">Dessa forma, pode-se concluir que tanto o credenciamento, quanto as assinaturas foram devidamente supridas na respectiva plataforma. Além disso, a ausência da declaração de credenciamento e assinaturas </w:t>
      </w:r>
      <w:r w:rsidR="0050001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não possui o condão de contaminar o certame e a consequente execução do serviço licitado</w:t>
      </w:r>
      <w:r w:rsidR="006F62D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, posto que a utilização da plataforma digital ressignifica tais exigências</w:t>
      </w:r>
      <w:r w:rsidR="0050001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.</w:t>
      </w:r>
    </w:p>
    <w:p w14:paraId="4E52CB33" w14:textId="77777777" w:rsidR="00500010" w:rsidRDefault="00500010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594A302E" w14:textId="44687C64" w:rsidR="00500010" w:rsidRDefault="00500010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50001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Ademais, os termos do edital não podem ser interpretados com rigor excessivo que acabe por macular a própria finalidade da licitação, restringindo a concorrência e prejudicando a possibilidade de que a Administração Pública analise todas as propostas passíveis de conhecimento ao tempo do certame, ou seja, apresentadas por concorrentes que, à época da habilitação, apresentavam as condições estabelecidas no edital.</w:t>
      </w:r>
    </w:p>
    <w:p w14:paraId="7338E0E9" w14:textId="77777777" w:rsidR="00500010" w:rsidRDefault="00500010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68194AD8" w14:textId="77F9DF20" w:rsidR="00500010" w:rsidRDefault="00500010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50001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Frise que no caso em comento deve ser aplicado o princípio doutrinário do formalismo moderado no procedimento licitatório.</w:t>
      </w:r>
    </w:p>
    <w:p w14:paraId="0AACA08E" w14:textId="77777777" w:rsidR="00B04EAF" w:rsidRDefault="00B04EA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345BD19B" w14:textId="65191809" w:rsidR="00B04EAF" w:rsidRDefault="00500010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50001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A formalidade exigida da parte impetrante é excessiva, evidenciando obstáculo ao resguardo do próprio interesse público, que consiste na obtenção do menor preço. </w:t>
      </w:r>
    </w:p>
    <w:p w14:paraId="0EBBFDEB" w14:textId="77777777" w:rsidR="00914254" w:rsidRDefault="00914254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5D08E262" w14:textId="4E989ABF" w:rsidR="00914254" w:rsidRDefault="00914254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914254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Nesse sentido, orienta o TCU:</w:t>
      </w:r>
    </w:p>
    <w:p w14:paraId="0C2B81F4" w14:textId="77777777" w:rsidR="00AE6B6B" w:rsidRDefault="00AE6B6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669C81DF" w14:textId="4ECAA253" w:rsidR="00914254" w:rsidRDefault="00914254" w:rsidP="00914254">
      <w:pPr>
        <w:spacing w:after="0" w:line="240" w:lineRule="auto"/>
        <w:ind w:leftChars="0" w:left="3402" w:firstLineChars="0" w:firstLine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“(...) </w:t>
      </w:r>
      <w:r w:rsidRPr="00914254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As exigências para o fim de habilitação devem ser compatíveis com o objeto da licitação, </w:t>
      </w:r>
      <w:r w:rsidRPr="00272E8A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>evitando-se o formalismo desnecessário</w:t>
      </w:r>
      <w:r w:rsidRPr="00914254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. Caberia, no máximo, por parte da instituição promotora da licitação “promover diligência destinada a esclarecer a questão, indagando da empresa a utilização ou não de menores aprendizes”, o que não configuraria irregularidade, qualquer que fosse </w:t>
      </w:r>
      <w:r w:rsidRPr="00914254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lastRenderedPageBreak/>
        <w:t>a resposta obtida. Precedente citado: Acórdão no 7334/2009 – 2ª Câmara. CU. Processo nº 008.284/2005-9. Acórdão nº 2003/2011 — Plenário. Relator: ministro Augusto Nardes. No curso de procedimentos licitatórios, a Administração Pública deve pautar-se pelo princípio do formalismo moderado, que prescreve a adoção de formas simples e suficientes para propiciar adequado grau de certeza, segurança e respeito aos direitos dos administrados, promovendo, assim, a prevalência do conteúdo sobre o formalismo extremo, respeitadas, ainda, as praxes essenciais à proteção das prerrogativas dos administrados.</w:t>
      </w:r>
      <w:r w:rsidR="00272E8A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”</w:t>
      </w:r>
      <w:r w:rsidRPr="00914254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TCU. Processo nº 032.668/2014-7. Acórdão nº 357/2015 — Plenário. Relator: ministro Bruno Dantas.</w:t>
      </w:r>
      <w:r w:rsidR="00272E8A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(grifei)</w:t>
      </w:r>
    </w:p>
    <w:p w14:paraId="7C253711" w14:textId="77777777" w:rsidR="00AE6B6B" w:rsidRDefault="00AE6B6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3ABE87AE" w14:textId="3A576A47" w:rsidR="00AE6B6B" w:rsidRDefault="00272E8A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No mesmo sentido, o TCE/MG:</w:t>
      </w:r>
    </w:p>
    <w:p w14:paraId="46950B8C" w14:textId="77777777" w:rsidR="00272E8A" w:rsidRDefault="00272E8A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5EE8C6F6" w14:textId="31DA57C7" w:rsidR="00272E8A" w:rsidRDefault="00272E8A" w:rsidP="00272E8A">
      <w:pPr>
        <w:spacing w:after="0" w:line="240" w:lineRule="auto"/>
        <w:ind w:leftChars="0" w:left="3402" w:firstLineChars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“</w:t>
      </w:r>
      <w:r w:rsidRPr="00272E8A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Representação. Inexistência de nulidade quando não há prejuízo à licitação. “(...) </w:t>
      </w:r>
      <w:r w:rsidRPr="00272E8A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>o princípio da vinculação ao edital deve ser interpretado com certa reserva, sob pena de adotar-se postura de caráter excessivamente formal por parte da Administração. Este entendimento é corroborado pelo magistério de Hely Lopes Meirelles: ‘O princípio do procedimento formal não significa que a Administração deva ser formalista a ponto de fazer exigências inúteis ou desnecessárias à licitação, como também não quer dizer que se deva anular o procedimento ou julgamento, ou inabilitar licitantes, ou desclassificar propostas diante de simples omissões ou irregularidades na documentação ou na proposta, desde que tais omissões e irregularidades sejam irrelevantes e não causem prejuízos à Administração ou aos concorrentes</w:t>
      </w:r>
      <w:r w:rsidRPr="00272E8A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’ (...)”. (Representação n.º 715719. Rel. Conselheiro Antônio Carlos Andrada. Sessão do dia 07/08/2007) (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grifei</w:t>
      </w:r>
      <w:r w:rsidRPr="00272E8A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)</w:t>
      </w:r>
    </w:p>
    <w:p w14:paraId="3A67E578" w14:textId="77777777" w:rsidR="00AE6B6B" w:rsidRDefault="00AE6B6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3EDAFC78" w14:textId="23BB45F5" w:rsidR="00AE6B6B" w:rsidRDefault="00272E8A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É fato que o princípio da vinculação ao edital tem previsão expressa no Art. 5º da Lei nº 14.133/21, porém, no mesmo dispositivo legal, também há previsão do princípio da razoabilidade</w:t>
      </w:r>
      <w:r w:rsidR="00336C1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, proporcionalidade e, ainda, da celeridade.</w:t>
      </w:r>
    </w:p>
    <w:p w14:paraId="62777F60" w14:textId="77777777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1D5E68A2" w14:textId="3B8FDAC9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Dessa forma, o princípio da vinculação ao edital não deve ser interpretado de forma absoluta e isolada, devendo ser abolidas </w:t>
      </w:r>
      <w:r w:rsidRPr="00336C1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exigências que se apresentarem desarrazoadas ou que representem formalismo injustificado ao ponto de comprometer o interesse público e o objetivo da licitação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, </w:t>
      </w:r>
      <w:r w:rsidRPr="00336C1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qual seja, buscar o maior número de participantes em prol da proposta mais vantajosa para a administração.</w:t>
      </w:r>
    </w:p>
    <w:p w14:paraId="77D75E8E" w14:textId="77777777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1C536E2A" w14:textId="421EA4AF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336C1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Portanto, </w:t>
      </w:r>
      <w:r w:rsidRPr="007F4E0E">
        <w:rPr>
          <w:rFonts w:ascii="Century Gothic" w:eastAsia="Times New Roman" w:hAnsi="Century Gothic" w:cs="Times New Roman"/>
          <w:b/>
          <w:position w:val="0"/>
          <w:sz w:val="24"/>
          <w:szCs w:val="24"/>
          <w:lang w:eastAsia="pt-BR"/>
        </w:rPr>
        <w:t>o formalismo exacerbado não pode ser privilegiado em detrimento da finalidade da licitação pública, que visa selecionar a proposta mais vantajosa à administração</w:t>
      </w:r>
      <w:r w:rsidRPr="00336C1F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, mediante a ampla participação dos interessados sendo que as exi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gências do edital devem limitar-se ao estritamente essencial e indispensável à busca do interesse público.</w:t>
      </w:r>
    </w:p>
    <w:p w14:paraId="16D9F1D1" w14:textId="77777777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2CA0AB89" w14:textId="62A27AE4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7F4E0E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>Portanto, não merece prosperar a alegação da empresa BARROS BITTERNCOURT EMPREENDIMENTO LTDA quanto a ausência de apresentação do Anexo II e a falta de assinatura nos Anexos V e VII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.</w:t>
      </w:r>
    </w:p>
    <w:p w14:paraId="39112AC4" w14:textId="77777777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0E5166EE" w14:textId="21F688EA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Ultrapassado questão atinente aos anexos apresentados pela empresa recorrida, </w:t>
      </w:r>
      <w:r w:rsidRPr="0080192F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>passemos a análise do questionamento referente à comprovação de capacidade técnica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.</w:t>
      </w:r>
    </w:p>
    <w:p w14:paraId="400BAFC8" w14:textId="77777777" w:rsidR="007F4E0E" w:rsidRDefault="007F4E0E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1B636845" w14:textId="1CE6E4BD" w:rsidR="007F4E0E" w:rsidRDefault="007F4E0E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A recorrente alega que a empresa </w:t>
      </w:r>
      <w:r w:rsidRP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URBANO ENGENHARIA E CONSTRUÇÕES LTDA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não observou o item 6.5, inciso II, alínea b </w:t>
      </w:r>
      <w:r w:rsidR="007C0CF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do edital, ao </w:t>
      </w:r>
      <w:r w:rsidR="007C0CF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lastRenderedPageBreak/>
        <w:t>não comprovar a porcentagem exigida em relação ao item 5.1, que assim estabeleceu:</w:t>
      </w:r>
    </w:p>
    <w:p w14:paraId="60E1DC3B" w14:textId="77777777" w:rsidR="007C0CF3" w:rsidRDefault="007C0CF3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53CABEC4" w14:textId="6DF87FB7" w:rsidR="007C0CF3" w:rsidRDefault="007C0CF3" w:rsidP="007C0CF3">
      <w:pPr>
        <w:spacing w:after="0" w:line="240" w:lineRule="auto"/>
        <w:ind w:leftChars="0" w:left="3402" w:firstLineChars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“</w:t>
      </w:r>
      <w:r w:rsidRPr="007C0CF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6.5. Quanto à </w:t>
      </w:r>
      <w:r w:rsidRPr="007C0CF3">
        <w:rPr>
          <w:rFonts w:ascii="Century Gothic" w:eastAsia="Times New Roman" w:hAnsi="Century Gothic" w:cs="Times New Roman"/>
          <w:b/>
          <w:position w:val="0"/>
          <w:sz w:val="24"/>
          <w:szCs w:val="24"/>
          <w:lang w:eastAsia="pt-BR"/>
        </w:rPr>
        <w:t>QUALIFICAÇÃO TÉCNICA</w:t>
      </w:r>
      <w:r w:rsidRPr="007C0CF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, deverá ser apresentado:</w:t>
      </w:r>
    </w:p>
    <w:p w14:paraId="32775D53" w14:textId="49BCFA12" w:rsidR="007C0CF3" w:rsidRDefault="007C0CF3" w:rsidP="007C0CF3">
      <w:pPr>
        <w:spacing w:after="0" w:line="240" w:lineRule="auto"/>
        <w:ind w:leftChars="0" w:left="3402" w:firstLineChars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(...)</w:t>
      </w:r>
    </w:p>
    <w:p w14:paraId="71D25D1A" w14:textId="03E4BAD2" w:rsidR="007C0CF3" w:rsidRDefault="007C0CF3" w:rsidP="007C0CF3">
      <w:pPr>
        <w:spacing w:after="0" w:line="240" w:lineRule="auto"/>
        <w:ind w:leftChars="0" w:left="3402" w:firstLineChars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7C0CF3">
        <w:rPr>
          <w:rFonts w:ascii="Century Gothic" w:eastAsia="Times New Roman" w:hAnsi="Century Gothic" w:cs="Times New Roman"/>
          <w:b/>
          <w:position w:val="0"/>
          <w:sz w:val="24"/>
          <w:szCs w:val="24"/>
          <w:lang w:eastAsia="pt-BR"/>
        </w:rPr>
        <w:t>II - Quanto à capacitação técnico profissional</w:t>
      </w:r>
      <w:r w:rsidRPr="007C0CF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:</w:t>
      </w:r>
    </w:p>
    <w:p w14:paraId="38D66D04" w14:textId="566868E2" w:rsidR="007C0CF3" w:rsidRDefault="007C0CF3" w:rsidP="007C0CF3">
      <w:pPr>
        <w:spacing w:after="0" w:line="240" w:lineRule="auto"/>
        <w:ind w:leftChars="0" w:left="3402" w:firstLineChars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(...)</w:t>
      </w:r>
    </w:p>
    <w:p w14:paraId="7E8C85B5" w14:textId="08DA9556" w:rsidR="007C0CF3" w:rsidRDefault="007C0CF3" w:rsidP="007C0CF3">
      <w:pPr>
        <w:spacing w:after="0" w:line="240" w:lineRule="auto"/>
        <w:ind w:leftChars="0" w:left="3402" w:firstLineChars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963C06">
        <w:rPr>
          <w:rFonts w:ascii="Century Gothic" w:eastAsia="Times New Roman" w:hAnsi="Century Gothic" w:cs="Times New Roman"/>
          <w:b/>
          <w:position w:val="0"/>
          <w:sz w:val="24"/>
          <w:szCs w:val="24"/>
          <w:lang w:eastAsia="pt-BR"/>
        </w:rPr>
        <w:t>b)</w:t>
      </w:r>
      <w:r w:rsidRPr="007C0CF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na comprovação da execução dos serviços de características semelhantes os atestados devem contemplar os serviços referentes às parcelas de maior relevância, podendo ocorrer somatórias dos itens descritos, conforme abaixo indicado:</w:t>
      </w:r>
    </w:p>
    <w:p w14:paraId="3D0D59E4" w14:textId="73C8E08D" w:rsidR="007C0CF3" w:rsidRDefault="007C0CF3" w:rsidP="007C0CF3">
      <w:pPr>
        <w:spacing w:after="0" w:line="240" w:lineRule="auto"/>
        <w:ind w:leftChars="0" w:left="3402" w:firstLineChars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(...)</w:t>
      </w:r>
    </w:p>
    <w:p w14:paraId="7C5B6759" w14:textId="40E271B0" w:rsidR="007C0CF3" w:rsidRPr="007C0CF3" w:rsidRDefault="007C0CF3" w:rsidP="007C0CF3">
      <w:pPr>
        <w:pStyle w:val="PargrafodaLista"/>
        <w:numPr>
          <w:ilvl w:val="0"/>
          <w:numId w:val="4"/>
        </w:numPr>
        <w:spacing w:after="0" w:line="240" w:lineRule="auto"/>
        <w:ind w:leftChars="0" w:left="3402" w:firstLineChars="0" w:hanging="1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963C06">
        <w:rPr>
          <w:b/>
        </w:rPr>
        <w:t>mínimo de 50% da execução concernente ao item “5.1”</w:t>
      </w:r>
      <w:r>
        <w:t xml:space="preserve"> - FORNECIMENTO DE ESTRUTURA METÁLICA E ENGRADAMENTO METÁLICO, EM AÇO, PARA TELHADO, EXCLUSIVE TELHA, INCLUSIVE FABRICAÇÃO, TRANSPORTE, MONTAGEM E APLICAÇÃO DE FUNDO PREPARADOR ANTICORROSIVO EM SUPERFÍCIE METÁLICA, UMA (1) DEMÃO. QUANTIDADE: 5593,92KG.”</w:t>
      </w:r>
    </w:p>
    <w:p w14:paraId="5E529A4E" w14:textId="77777777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09EF460A" w14:textId="458E14A1" w:rsidR="00336C1F" w:rsidRDefault="00963C06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Isso porque, de acordo com o alegado, a empresa recorrida apresentou seus atestados na unidade de medida m² (metro quadrado), de forma não atender o edital, o qual, por sua vez, exigiu em KG (quilograma).</w:t>
      </w:r>
    </w:p>
    <w:p w14:paraId="7511C3B6" w14:textId="77777777" w:rsidR="00963C06" w:rsidRDefault="00963C06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76BA3389" w14:textId="261CE362" w:rsidR="00963C06" w:rsidRDefault="00963C06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Tendo em vista se tratar de questionamento estritamente técnico, o agente de contratação optou por converter o feito em diligência e encaminhar os documentos ao setor de engenharia desde Município.</w:t>
      </w:r>
    </w:p>
    <w:p w14:paraId="03065CA5" w14:textId="77777777" w:rsidR="00963C06" w:rsidRDefault="00963C06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3D4BFE58" w14:textId="18C3EBC7" w:rsidR="00963C06" w:rsidRDefault="0080192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Em seguida</w:t>
      </w:r>
      <w:r w:rsidR="00963C0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, o Assessor de Projetos, Sr. Marcus </w:t>
      </w:r>
      <w:proofErr w:type="spellStart"/>
      <w:r w:rsidR="00963C0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Saccheto</w:t>
      </w:r>
      <w:proofErr w:type="spellEnd"/>
      <w:r w:rsidR="00963C0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Duarte, engenheiro civil inscrito no CREA 241871/D</w:t>
      </w:r>
      <w:r w:rsidR="00DB7E9B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, concluiu em seu parecer o seguinte:</w:t>
      </w:r>
    </w:p>
    <w:p w14:paraId="3CE44BDF" w14:textId="77777777" w:rsidR="00DB7E9B" w:rsidRDefault="00DB7E9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1D3F7551" w14:textId="0E180A06" w:rsidR="00DB7E9B" w:rsidRDefault="00BA3F32" w:rsidP="00BA3F32">
      <w:pPr>
        <w:spacing w:after="0" w:line="240" w:lineRule="auto"/>
        <w:ind w:leftChars="0" w:left="3402" w:firstLineChars="0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lastRenderedPageBreak/>
        <w:t>“</w:t>
      </w:r>
      <w:r w:rsidR="00710BFD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Portanto a empresa Urbano Engenharia e Construções LTDA, deveria apresentar Certidão de Técnica (CAT) da execução de </w:t>
      </w:r>
      <w:r w:rsidR="00710BFD" w:rsidRPr="00710BFD">
        <w:rPr>
          <w:rFonts w:ascii="Century Gothic" w:eastAsia="Times New Roman" w:hAnsi="Century Gothic" w:cs="Times New Roman"/>
          <w:position w:val="0"/>
          <w:sz w:val="24"/>
          <w:szCs w:val="24"/>
          <w:u w:val="single"/>
          <w:lang w:eastAsia="pt-BR"/>
        </w:rPr>
        <w:t>pelo menos 2796,96 KG</w:t>
      </w:r>
      <w:r w:rsidR="00710BFD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de estrutura metálica e </w:t>
      </w:r>
      <w:proofErr w:type="spellStart"/>
      <w:r w:rsidR="00710BFD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engrandamento</w:t>
      </w:r>
      <w:proofErr w:type="spellEnd"/>
      <w:r w:rsidR="00710BFD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metálico, em aço para telhado, o que corresponde </w:t>
      </w:r>
      <w:r w:rsidR="00710BFD" w:rsidRPr="00BA3F32">
        <w:rPr>
          <w:rFonts w:ascii="Century Gothic" w:eastAsia="Times New Roman" w:hAnsi="Century Gothic" w:cs="Times New Roman"/>
          <w:position w:val="0"/>
          <w:sz w:val="24"/>
          <w:szCs w:val="24"/>
          <w:u w:val="single"/>
          <w:lang w:eastAsia="pt-BR"/>
        </w:rPr>
        <w:t>50% de 5593,92 KG</w:t>
      </w:r>
      <w:r w:rsidR="00710BFD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que é o quantitativo do item. As certidões apresentadas foram na unidade de medida “metro quadrado”, dessa forma não foi possível equiparar o quantitativo mínimo exigido e atestar a capacidade técnica da Urbano no referido item, razão pela qual entendo que a mesma não 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pode ser considerada apta a executar o objeto da presente licitação.”</w:t>
      </w:r>
    </w:p>
    <w:p w14:paraId="3B5E969F" w14:textId="77777777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36C512F3" w14:textId="2E12CB10" w:rsidR="00336C1F" w:rsidRPr="006F62DF" w:rsidRDefault="00DB7E9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Portanto, tem-se que a empresa </w:t>
      </w:r>
      <w:r w:rsidRPr="00880CE3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URBANO ENGENHARIA E CONSTRUÇÕES LTDA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, não atendeu o disposto no edital de licitação em um ponto extremamente relevante, qual seja, </w:t>
      </w:r>
      <w:r w:rsidR="006F62DF" w:rsidRPr="006F62DF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 xml:space="preserve">a detida comprovação de </w:t>
      </w:r>
      <w:r w:rsidRPr="006F62DF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>capacidade técnica para execução do objeto licitado.</w:t>
      </w:r>
    </w:p>
    <w:p w14:paraId="4174CF2A" w14:textId="77777777" w:rsidR="00336C1F" w:rsidRDefault="00336C1F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72145332" w14:textId="47947C70" w:rsidR="00AE6B6B" w:rsidRDefault="00DB7E9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DB7E9B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Os atestados de capacidade têm a finalidade de comprovar para a Administração Pública, por intermédio de um documento subscrito por terceiro alheio à disputa licitatória, de que o licitante já executou o objeto licitado em outra oportunidade e a referida execução foi a contento, o que gerará confiança e segurança à Administração licitadora de o aludido licitante possuir expertise técnica.</w:t>
      </w:r>
    </w:p>
    <w:p w14:paraId="31600ABC" w14:textId="77777777" w:rsidR="00DB7E9B" w:rsidRDefault="00DB7E9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4C889AA6" w14:textId="0BBBA1AE" w:rsidR="00DB7E9B" w:rsidRDefault="00DB7E9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DB7E9B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Marçal </w:t>
      </w:r>
      <w:proofErr w:type="spellStart"/>
      <w:r w:rsidRPr="00DB7E9B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Justen</w:t>
      </w:r>
      <w:proofErr w:type="spellEnd"/>
      <w:r w:rsidRPr="00DB7E9B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Filho enaltece a relevância do atestado ao discorrer que “em todo o tipo de contratação pode cogitar-se da exigência de experiência anterior do licitante como requisito de segurança para a contratação administrativa. Aliás até se pode afirmar que em muitos casos a </w:t>
      </w:r>
      <w:r w:rsidRPr="00DB7E9B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lastRenderedPageBreak/>
        <w:t>capacitação técnica operacional se evidencia como a única manifestação de experiência ante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rior relevante e pertinente.</w:t>
      </w:r>
      <w:r>
        <w:rPr>
          <w:rStyle w:val="Refdenotaderodap"/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footnoteReference w:id="1"/>
      </w:r>
    </w:p>
    <w:p w14:paraId="5AB22170" w14:textId="77777777" w:rsidR="002302B7" w:rsidRDefault="002302B7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2E5A20B3" w14:textId="2F2E5F55" w:rsidR="002302B7" w:rsidRDefault="002302B7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 w:rsidRPr="002302B7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Portanto, a apresentação de atestados visa demonstrar que os licitantes já executaram, anteriormente, objetos compatíveis em características com aquele definido e almejado na licitação. A finalidade da norma é clara: resguardar o interesse da Administração - a perfeita execução do objeto da licitação -, procurando-se, com a exigência de demonstração de capacidade, preservar a competição entre aqueles que reúnam condições de executar objeto similar ao licitado.</w:t>
      </w:r>
    </w:p>
    <w:p w14:paraId="0F5CD17B" w14:textId="77777777" w:rsidR="006D25BB" w:rsidRDefault="006D25B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76DD04D1" w14:textId="0A470D38" w:rsidR="006D25BB" w:rsidRDefault="006D25BB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Quanto à porcentagem exigida no edital, é de conhecimento geral que o Tribunal de Contas, no </w:t>
      </w:r>
      <w:r w:rsidRPr="006D25BB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Acórdão 244/2015-Plenário</w:t>
      </w:r>
      <w:r w:rsidR="00375CE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, entendeu que “</w:t>
      </w:r>
      <w:r w:rsidR="00375CE6" w:rsidRPr="00375CE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A exigência de comprovação da execução de quantitativos mínimos em obras ou serviços com características semelhantes, para fins de atestar a capacidade técnico-operacional, deve guardar proporção com a dimensão e a complexidade do objeto e recair, simultaneamente, sobre as parcelas de maior relevância e valor significativo. </w:t>
      </w:r>
      <w:r w:rsidR="00375CE6" w:rsidRPr="00375CE6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>Como regra, os quantitativos mínimos exigidos não devem ultrapassar 50% do previsto no orçamento base, salvo em condições especiais e devidamente justificadas no processo de licitação</w:t>
      </w:r>
      <w:r w:rsidR="00375CE6" w:rsidRPr="00375CE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.</w:t>
      </w:r>
      <w:r w:rsidR="00375CE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”</w:t>
      </w:r>
    </w:p>
    <w:p w14:paraId="62D2CEF2" w14:textId="77777777" w:rsidR="00375CE6" w:rsidRDefault="00375CE6" w:rsidP="006D25BB">
      <w:pPr>
        <w:tabs>
          <w:tab w:val="left" w:pos="6436"/>
        </w:tabs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2BC80574" w14:textId="77777777" w:rsidR="00375CE6" w:rsidRDefault="00375CE6" w:rsidP="006D25BB">
      <w:pPr>
        <w:tabs>
          <w:tab w:val="left" w:pos="6436"/>
        </w:tabs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Dessa forma, tem-se por legal a exigência de comprovação de 50% (cinquenta por cento) de execução de itens licitados, como ocorreu no presente caso. </w:t>
      </w:r>
    </w:p>
    <w:p w14:paraId="2D1E5C1B" w14:textId="77777777" w:rsidR="00375CE6" w:rsidRDefault="00375CE6" w:rsidP="00D9256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4EBEDF30" w14:textId="3A2993CC" w:rsidR="00927A1F" w:rsidRDefault="00927A1F" w:rsidP="007D20C1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Portanto, em atenção, ao princípio da vinculação ao edital, previsto no Art. 5º da Nova Lei de Licitações Públicas, </w:t>
      </w:r>
      <w:r w:rsidRPr="00927A1F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 xml:space="preserve">a empresa </w:t>
      </w:r>
      <w:r w:rsidR="00EE7D7D" w:rsidRPr="00EE7D7D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 xml:space="preserve">URBANO </w:t>
      </w:r>
      <w:r w:rsidR="00EE7D7D" w:rsidRPr="00EE7D7D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lastRenderedPageBreak/>
        <w:t>ENGENHARIA E CONSTRUÇÕES LTDA</w:t>
      </w:r>
      <w:r w:rsidRPr="00927A1F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 xml:space="preserve"> deve ser considerada inabilitada por não apresentar </w:t>
      </w:r>
      <w:r w:rsidR="00EE7D7D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 xml:space="preserve">atestado de qualificação nos </w:t>
      </w:r>
      <w:r w:rsidR="00EE7D7D" w:rsidRPr="00375CE6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>quantitativos mínimos exigidos</w:t>
      </w:r>
      <w:r w:rsidR="00EE7D7D">
        <w:rPr>
          <w:rFonts w:ascii="Century Gothic" w:eastAsia="Times New Roman" w:hAnsi="Century Gothic" w:cs="Times New Roman"/>
          <w:b/>
          <w:position w:val="0"/>
          <w:sz w:val="24"/>
          <w:szCs w:val="24"/>
          <w:u w:val="single"/>
          <w:lang w:eastAsia="pt-BR"/>
        </w:rPr>
        <w:t xml:space="preserve"> no Edital</w:t>
      </w: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.</w:t>
      </w:r>
    </w:p>
    <w:p w14:paraId="27739710" w14:textId="77777777" w:rsidR="004A5C0A" w:rsidRDefault="004A5C0A" w:rsidP="00C4750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17C1109D" w14:textId="4D42D93E" w:rsidR="00C47500" w:rsidRPr="00C47500" w:rsidRDefault="009F6220" w:rsidP="00C47500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Isto posto,</w:t>
      </w:r>
      <w:r w:rsidR="00492BE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  <w:r w:rsidR="00222CE7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verifica-se </w:t>
      </w:r>
      <w:r w:rsidR="00492BE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merece</w:t>
      </w:r>
      <w:r w:rsidR="00222CE7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r</w:t>
      </w:r>
      <w:r w:rsidR="00492BE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reforma a decisão administrativa que declarou </w:t>
      </w:r>
      <w:r w:rsidR="004C150B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a </w:t>
      </w:r>
      <w:r w:rsidR="004C150B" w:rsidRPr="00EA560C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recorrida </w:t>
      </w:r>
      <w:r w:rsidR="00EE7D7D" w:rsidRPr="00EE7D7D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URBANO ENGENHARIA E CONSTRUÇÕES LTDA </w:t>
      </w:r>
      <w:r w:rsidR="00EA560C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habilitada, </w:t>
      </w:r>
      <w:r w:rsidR="00091A72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em razão da não apresentação de documento expressamente exigido em edital, </w:t>
      </w:r>
      <w:r w:rsidR="00492BE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o que </w:t>
      </w:r>
      <w:r w:rsidR="00812DC8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se ratifica</w:t>
      </w:r>
      <w:r w:rsidR="00C41426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  <w:r w:rsidR="00222CE7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a presente</w:t>
      </w:r>
      <w:r w:rsidR="00492BE9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decisão. </w:t>
      </w:r>
      <w:r w:rsidR="00C47500" w:rsidRPr="00C47500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</w:p>
    <w:p w14:paraId="433419FE" w14:textId="77777777" w:rsidR="00C47500" w:rsidRPr="00AF048F" w:rsidRDefault="00C47500" w:rsidP="000765EC">
      <w:pPr>
        <w:spacing w:after="0" w:line="360" w:lineRule="auto"/>
        <w:ind w:leftChars="0" w:firstLineChars="0" w:firstLine="1134"/>
        <w:jc w:val="both"/>
        <w:textDirection w:val="lrTb"/>
        <w:textAlignment w:val="auto"/>
        <w:outlineLvl w:val="9"/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</w:pPr>
    </w:p>
    <w:p w14:paraId="1DCA3B2F" w14:textId="77777777" w:rsidR="00B60277" w:rsidRPr="00DD3B40" w:rsidRDefault="00B60277" w:rsidP="00852C9F">
      <w:pPr>
        <w:spacing w:after="0" w:line="360" w:lineRule="auto"/>
        <w:ind w:left="0" w:hanging="2"/>
        <w:jc w:val="both"/>
        <w:rPr>
          <w:rFonts w:ascii="Century Gothic" w:hAnsi="Century Gothic"/>
          <w:sz w:val="24"/>
          <w:szCs w:val="24"/>
        </w:rPr>
      </w:pPr>
      <w:r w:rsidRPr="00DD3B40">
        <w:rPr>
          <w:rFonts w:ascii="Century Gothic" w:hAnsi="Century Gothic"/>
          <w:b/>
          <w:sz w:val="24"/>
          <w:szCs w:val="24"/>
        </w:rPr>
        <w:t>III - CONCLUSÃO</w:t>
      </w:r>
    </w:p>
    <w:p w14:paraId="724D400E" w14:textId="77777777" w:rsidR="00B60277" w:rsidRDefault="00B60277" w:rsidP="00852C9F">
      <w:pPr>
        <w:spacing w:after="0" w:line="360" w:lineRule="auto"/>
        <w:ind w:left="0" w:hanging="2"/>
        <w:jc w:val="both"/>
        <w:rPr>
          <w:rFonts w:ascii="Century Gothic" w:hAnsi="Century Gothic"/>
          <w:b/>
          <w:sz w:val="24"/>
          <w:szCs w:val="24"/>
        </w:rPr>
      </w:pPr>
    </w:p>
    <w:p w14:paraId="261B587C" w14:textId="78A7FEBC" w:rsidR="00507340" w:rsidRPr="00ED7AEE" w:rsidRDefault="00D92560" w:rsidP="00507340">
      <w:pPr>
        <w:spacing w:after="0" w:line="360" w:lineRule="auto"/>
        <w:ind w:left="-2" w:firstLineChars="515" w:firstLine="1236"/>
        <w:jc w:val="both"/>
        <w:rPr>
          <w:rFonts w:ascii="Century Gothic" w:hAnsi="Century Gothic"/>
          <w:sz w:val="24"/>
          <w:szCs w:val="24"/>
        </w:rPr>
      </w:pPr>
      <w:r w:rsidRPr="00ED7AEE">
        <w:rPr>
          <w:rFonts w:ascii="Century Gothic" w:hAnsi="Century Gothic"/>
          <w:sz w:val="24"/>
          <w:szCs w:val="24"/>
        </w:rPr>
        <w:t xml:space="preserve">Ante o exposto, </w:t>
      </w:r>
      <w:r w:rsidRPr="00ED7AEE">
        <w:rPr>
          <w:rFonts w:ascii="Century Gothic" w:hAnsi="Century Gothic"/>
          <w:b/>
          <w:bCs/>
          <w:sz w:val="24"/>
          <w:szCs w:val="24"/>
        </w:rPr>
        <w:t>conheço</w:t>
      </w:r>
      <w:r w:rsidRPr="00ED7AEE">
        <w:rPr>
          <w:rFonts w:ascii="Century Gothic" w:hAnsi="Century Gothic"/>
          <w:sz w:val="24"/>
          <w:szCs w:val="24"/>
        </w:rPr>
        <w:t xml:space="preserve"> </w:t>
      </w:r>
      <w:r w:rsidR="005A314C" w:rsidRPr="00ED7AEE">
        <w:rPr>
          <w:rFonts w:ascii="Century Gothic" w:hAnsi="Century Gothic"/>
          <w:sz w:val="24"/>
          <w:szCs w:val="24"/>
        </w:rPr>
        <w:t xml:space="preserve">o recurso </w:t>
      </w:r>
      <w:r w:rsidR="00CC4436" w:rsidRPr="00ED7AEE">
        <w:rPr>
          <w:rFonts w:ascii="Century Gothic" w:hAnsi="Century Gothic"/>
          <w:sz w:val="24"/>
          <w:szCs w:val="24"/>
        </w:rPr>
        <w:t xml:space="preserve">interposto pela licitante </w:t>
      </w:r>
      <w:r w:rsidR="00EE7D7D" w:rsidRP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BARROS BITTERNCOURT EMPREENDIMENTO LTDA</w:t>
      </w:r>
      <w:r w:rsidR="005A314C" w:rsidRPr="00ED7AEE">
        <w:rPr>
          <w:rFonts w:ascii="Century Gothic" w:hAnsi="Century Gothic"/>
          <w:sz w:val="24"/>
          <w:szCs w:val="24"/>
        </w:rPr>
        <w:t xml:space="preserve">, </w:t>
      </w:r>
      <w:r w:rsidRPr="00ED7AEE">
        <w:rPr>
          <w:rFonts w:ascii="Century Gothic" w:hAnsi="Century Gothic"/>
          <w:sz w:val="24"/>
          <w:szCs w:val="24"/>
        </w:rPr>
        <w:t xml:space="preserve">para no mérito, </w:t>
      </w:r>
      <w:r w:rsidR="00EE7D7D" w:rsidRPr="00ED7AEE">
        <w:rPr>
          <w:rFonts w:ascii="Century Gothic" w:hAnsi="Century Gothic"/>
          <w:b/>
          <w:bCs/>
          <w:sz w:val="24"/>
          <w:szCs w:val="24"/>
        </w:rPr>
        <w:t>dar</w:t>
      </w:r>
      <w:r w:rsidR="00CC4436" w:rsidRPr="00ED7AEE">
        <w:rPr>
          <w:rFonts w:ascii="Century Gothic" w:hAnsi="Century Gothic"/>
          <w:b/>
          <w:bCs/>
          <w:sz w:val="24"/>
          <w:szCs w:val="24"/>
        </w:rPr>
        <w:t xml:space="preserve">-lhe </w:t>
      </w:r>
      <w:r w:rsidR="00EE7D7D" w:rsidRPr="00ED7AEE">
        <w:rPr>
          <w:rFonts w:ascii="Century Gothic" w:hAnsi="Century Gothic"/>
          <w:b/>
          <w:bCs/>
          <w:sz w:val="24"/>
          <w:szCs w:val="24"/>
        </w:rPr>
        <w:t xml:space="preserve">parcial </w:t>
      </w:r>
      <w:r w:rsidRPr="00ED7AEE">
        <w:rPr>
          <w:rFonts w:ascii="Century Gothic" w:hAnsi="Century Gothic"/>
          <w:b/>
          <w:bCs/>
          <w:sz w:val="24"/>
          <w:szCs w:val="24"/>
        </w:rPr>
        <w:t>provimento</w:t>
      </w:r>
      <w:r w:rsidR="00CC4436" w:rsidRPr="00ED7AEE">
        <w:rPr>
          <w:rFonts w:ascii="Century Gothic" w:hAnsi="Century Gothic"/>
          <w:sz w:val="24"/>
          <w:szCs w:val="24"/>
        </w:rPr>
        <w:t xml:space="preserve">, </w:t>
      </w:r>
      <w:r w:rsidRPr="00ED7AEE">
        <w:rPr>
          <w:rFonts w:ascii="Century Gothic" w:hAnsi="Century Gothic"/>
          <w:sz w:val="24"/>
          <w:szCs w:val="24"/>
        </w:rPr>
        <w:t>com base nas razões acima expostas</w:t>
      </w:r>
      <w:r w:rsidR="00CC4436" w:rsidRPr="00ED7AEE">
        <w:rPr>
          <w:rFonts w:ascii="Century Gothic" w:hAnsi="Century Gothic"/>
          <w:sz w:val="24"/>
          <w:szCs w:val="24"/>
        </w:rPr>
        <w:t xml:space="preserve"> e</w:t>
      </w:r>
      <w:r w:rsidR="00FE7971" w:rsidRPr="00ED7AEE">
        <w:rPr>
          <w:rFonts w:ascii="Century Gothic" w:hAnsi="Century Gothic"/>
          <w:sz w:val="24"/>
          <w:szCs w:val="24"/>
        </w:rPr>
        <w:t xml:space="preserve"> em atendimento </w:t>
      </w:r>
      <w:r w:rsidR="00121348" w:rsidRPr="00ED7AEE">
        <w:rPr>
          <w:rFonts w:ascii="Century Gothic" w:hAnsi="Century Gothic"/>
          <w:sz w:val="24"/>
          <w:szCs w:val="24"/>
        </w:rPr>
        <w:t>a s</w:t>
      </w:r>
      <w:r w:rsidR="001072F2" w:rsidRPr="00ED7AEE">
        <w:rPr>
          <w:rFonts w:ascii="Century Gothic" w:hAnsi="Century Gothic"/>
          <w:sz w:val="24"/>
          <w:szCs w:val="24"/>
        </w:rPr>
        <w:t>upremacia do interesse público</w:t>
      </w:r>
      <w:r w:rsidR="00B7475D" w:rsidRPr="00ED7AEE">
        <w:rPr>
          <w:rFonts w:ascii="Century Gothic" w:hAnsi="Century Gothic"/>
          <w:sz w:val="24"/>
          <w:szCs w:val="24"/>
        </w:rPr>
        <w:t>, vinculação ao edital</w:t>
      </w:r>
      <w:r w:rsidR="001072F2" w:rsidRPr="00ED7AEE">
        <w:rPr>
          <w:rFonts w:ascii="Century Gothic" w:hAnsi="Century Gothic"/>
          <w:sz w:val="24"/>
          <w:szCs w:val="24"/>
        </w:rPr>
        <w:t xml:space="preserve"> </w:t>
      </w:r>
      <w:r w:rsidR="00CC4436" w:rsidRPr="00ED7AEE">
        <w:rPr>
          <w:rFonts w:ascii="Century Gothic" w:hAnsi="Century Gothic"/>
          <w:sz w:val="24"/>
          <w:szCs w:val="24"/>
        </w:rPr>
        <w:t xml:space="preserve">e </w:t>
      </w:r>
      <w:r w:rsidR="00B34893" w:rsidRPr="00ED7AEE">
        <w:rPr>
          <w:rFonts w:ascii="Century Gothic" w:hAnsi="Century Gothic"/>
          <w:sz w:val="24"/>
          <w:szCs w:val="24"/>
        </w:rPr>
        <w:t xml:space="preserve">a </w:t>
      </w:r>
      <w:r w:rsidR="00CC4436" w:rsidRPr="00ED7AEE">
        <w:rPr>
          <w:rFonts w:ascii="Century Gothic" w:hAnsi="Century Gothic"/>
          <w:sz w:val="24"/>
          <w:szCs w:val="24"/>
        </w:rPr>
        <w:t>economicidade da Administração Pública</w:t>
      </w:r>
      <w:r w:rsidR="00FE7971" w:rsidRPr="00ED7AEE">
        <w:rPr>
          <w:rFonts w:ascii="Century Gothic" w:hAnsi="Century Gothic"/>
          <w:sz w:val="24"/>
          <w:szCs w:val="24"/>
        </w:rPr>
        <w:t>,</w:t>
      </w:r>
      <w:r w:rsidRPr="00ED7AEE">
        <w:rPr>
          <w:rFonts w:ascii="Century Gothic" w:hAnsi="Century Gothic"/>
          <w:sz w:val="24"/>
          <w:szCs w:val="24"/>
        </w:rPr>
        <w:t xml:space="preserve"> </w:t>
      </w:r>
      <w:r w:rsidR="00B34893" w:rsidRPr="00ED7AEE">
        <w:rPr>
          <w:rFonts w:ascii="Century Gothic" w:hAnsi="Century Gothic"/>
          <w:sz w:val="24"/>
          <w:szCs w:val="24"/>
        </w:rPr>
        <w:t xml:space="preserve">e, </w:t>
      </w:r>
      <w:r w:rsidR="00CC4436" w:rsidRPr="00ED7AEE">
        <w:rPr>
          <w:rFonts w:ascii="Century Gothic" w:hAnsi="Century Gothic"/>
          <w:sz w:val="24"/>
          <w:szCs w:val="24"/>
        </w:rPr>
        <w:t>por conseguinte</w:t>
      </w:r>
      <w:r w:rsidRPr="00ED7AEE">
        <w:rPr>
          <w:rFonts w:ascii="Century Gothic" w:hAnsi="Century Gothic"/>
          <w:sz w:val="24"/>
          <w:szCs w:val="24"/>
        </w:rPr>
        <w:t xml:space="preserve">, </w:t>
      </w:r>
      <w:r w:rsidR="00EE7D7D" w:rsidRPr="00ED7AEE">
        <w:rPr>
          <w:rFonts w:ascii="Century Gothic" w:hAnsi="Century Gothic"/>
          <w:sz w:val="24"/>
          <w:szCs w:val="24"/>
        </w:rPr>
        <w:t>reformar</w:t>
      </w:r>
      <w:r w:rsidR="005A314C" w:rsidRPr="00ED7AEE">
        <w:rPr>
          <w:rFonts w:ascii="Century Gothic" w:hAnsi="Century Gothic"/>
          <w:sz w:val="24"/>
          <w:szCs w:val="24"/>
        </w:rPr>
        <w:t xml:space="preserve"> a decisão que declarou </w:t>
      </w:r>
      <w:r w:rsidR="00EE7D7D" w:rsidRPr="00ED7AEE">
        <w:rPr>
          <w:rFonts w:ascii="Century Gothic" w:hAnsi="Century Gothic"/>
          <w:sz w:val="24"/>
          <w:szCs w:val="24"/>
        </w:rPr>
        <w:t xml:space="preserve">a empresa </w:t>
      </w:r>
      <w:r w:rsidR="00EE7D7D" w:rsidRP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URBANO ENGENHARIA E CONSTRUÇÕES LTDA habilitada</w:t>
      </w:r>
      <w:r w:rsidR="00507340" w:rsidRPr="00ED7AEE">
        <w:rPr>
          <w:rFonts w:ascii="Century Gothic" w:hAnsi="Century Gothic"/>
          <w:sz w:val="24"/>
          <w:szCs w:val="24"/>
        </w:rPr>
        <w:t>.</w:t>
      </w:r>
    </w:p>
    <w:p w14:paraId="27B8B1DC" w14:textId="77777777" w:rsidR="00507340" w:rsidRPr="00ED7AEE" w:rsidRDefault="00507340" w:rsidP="00507340">
      <w:pPr>
        <w:spacing w:after="0" w:line="360" w:lineRule="auto"/>
        <w:ind w:left="-2" w:firstLineChars="515" w:firstLine="1236"/>
        <w:jc w:val="both"/>
        <w:rPr>
          <w:rFonts w:ascii="Century Gothic" w:hAnsi="Century Gothic"/>
          <w:sz w:val="24"/>
          <w:szCs w:val="24"/>
        </w:rPr>
      </w:pPr>
    </w:p>
    <w:p w14:paraId="60B1C2EA" w14:textId="1C2D7771" w:rsidR="00507340" w:rsidRPr="00507340" w:rsidRDefault="00B7475D" w:rsidP="00507340">
      <w:pPr>
        <w:spacing w:after="0" w:line="360" w:lineRule="auto"/>
        <w:ind w:left="-2" w:firstLineChars="515" w:firstLine="1236"/>
        <w:jc w:val="both"/>
        <w:rPr>
          <w:rFonts w:ascii="Century Gothic" w:hAnsi="Century Gothic"/>
          <w:sz w:val="24"/>
          <w:szCs w:val="24"/>
        </w:rPr>
      </w:pPr>
      <w:r w:rsidRP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Por fim, t</w:t>
      </w:r>
      <w:r w:rsidR="00710BFD" w:rsidRP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endo em vista a inabilitação da empresa</w:t>
      </w:r>
      <w:r w:rsidRP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</w:t>
      </w:r>
      <w:r w:rsidR="00710BFD" w:rsidRP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URBANO ENGENHARIA E CONSTRUÇÕES LTDA</w:t>
      </w:r>
      <w:r w:rsidRP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declaro a classificada </w:t>
      </w:r>
      <w:r w:rsidR="00710BFD" w:rsidRP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>BARROS BITTERNCOURT EMPREENDIMENTO LTDA</w:t>
      </w:r>
      <w:r w:rsidR="00507340" w:rsidRPr="00ED7AEE">
        <w:rPr>
          <w:rFonts w:ascii="Century Gothic" w:eastAsia="Times New Roman" w:hAnsi="Century Gothic" w:cs="Times New Roman"/>
          <w:position w:val="0"/>
          <w:sz w:val="24"/>
          <w:szCs w:val="24"/>
          <w:lang w:eastAsia="pt-BR"/>
        </w:rPr>
        <w:t xml:space="preserve"> vencedora do certame, o que se ratifica a presente decisão.</w:t>
      </w:r>
    </w:p>
    <w:p w14:paraId="48674824" w14:textId="77777777" w:rsidR="00D92560" w:rsidRDefault="00D92560" w:rsidP="00852C9F">
      <w:pPr>
        <w:spacing w:after="0" w:line="360" w:lineRule="auto"/>
        <w:ind w:left="0" w:hanging="2"/>
        <w:jc w:val="center"/>
        <w:rPr>
          <w:rFonts w:ascii="Century Gothic" w:hAnsi="Century Gothic"/>
          <w:sz w:val="24"/>
          <w:szCs w:val="24"/>
        </w:rPr>
      </w:pPr>
    </w:p>
    <w:p w14:paraId="3320894F" w14:textId="6030E6A4" w:rsidR="00B60277" w:rsidRPr="00DD3B40" w:rsidRDefault="00B60277" w:rsidP="00852C9F">
      <w:pPr>
        <w:spacing w:after="0" w:line="360" w:lineRule="auto"/>
        <w:ind w:left="0" w:hanging="2"/>
        <w:jc w:val="center"/>
        <w:rPr>
          <w:rFonts w:ascii="Century Gothic" w:hAnsi="Century Gothic"/>
          <w:sz w:val="24"/>
          <w:szCs w:val="24"/>
        </w:rPr>
      </w:pPr>
      <w:r w:rsidRPr="00DD3B40">
        <w:rPr>
          <w:rFonts w:ascii="Century Gothic" w:hAnsi="Century Gothic"/>
          <w:sz w:val="24"/>
          <w:szCs w:val="24"/>
        </w:rPr>
        <w:t xml:space="preserve">Dores do Indaiá, </w:t>
      </w:r>
      <w:r w:rsidR="00710BFD">
        <w:rPr>
          <w:rFonts w:ascii="Century Gothic" w:hAnsi="Century Gothic"/>
          <w:sz w:val="24"/>
          <w:szCs w:val="24"/>
        </w:rPr>
        <w:t>2</w:t>
      </w:r>
      <w:r w:rsidR="00B11040">
        <w:rPr>
          <w:rFonts w:ascii="Century Gothic" w:hAnsi="Century Gothic"/>
          <w:sz w:val="24"/>
          <w:szCs w:val="24"/>
        </w:rPr>
        <w:t xml:space="preserve">4 </w:t>
      </w:r>
      <w:r w:rsidR="00507340">
        <w:rPr>
          <w:rFonts w:ascii="Century Gothic" w:hAnsi="Century Gothic"/>
          <w:sz w:val="24"/>
          <w:szCs w:val="24"/>
        </w:rPr>
        <w:t>de junho</w:t>
      </w:r>
      <w:r w:rsidR="00D92560">
        <w:rPr>
          <w:rFonts w:ascii="Century Gothic" w:hAnsi="Century Gothic"/>
          <w:sz w:val="24"/>
          <w:szCs w:val="24"/>
        </w:rPr>
        <w:t xml:space="preserve"> de </w:t>
      </w:r>
      <w:r w:rsidRPr="00DD3B40">
        <w:rPr>
          <w:rFonts w:ascii="Century Gothic" w:hAnsi="Century Gothic"/>
          <w:sz w:val="24"/>
          <w:szCs w:val="24"/>
        </w:rPr>
        <w:t>202</w:t>
      </w:r>
      <w:r w:rsidR="00852C9F" w:rsidRPr="00DD3B40">
        <w:rPr>
          <w:rFonts w:ascii="Century Gothic" w:hAnsi="Century Gothic"/>
          <w:sz w:val="24"/>
          <w:szCs w:val="24"/>
        </w:rPr>
        <w:t>4</w:t>
      </w:r>
      <w:r w:rsidRPr="00DD3B40">
        <w:rPr>
          <w:rFonts w:ascii="Century Gothic" w:hAnsi="Century Gothic"/>
          <w:sz w:val="24"/>
          <w:szCs w:val="24"/>
        </w:rPr>
        <w:t xml:space="preserve">. </w:t>
      </w:r>
    </w:p>
    <w:p w14:paraId="02406FD9" w14:textId="77777777" w:rsidR="00B60277" w:rsidRDefault="00B60277" w:rsidP="00852C9F">
      <w:pPr>
        <w:pStyle w:val="TextosemFormatao"/>
        <w:spacing w:line="360" w:lineRule="auto"/>
        <w:ind w:left="1" w:hanging="3"/>
        <w:jc w:val="center"/>
        <w:rPr>
          <w:rFonts w:ascii="Century Gothic" w:eastAsia="MS Mincho" w:hAnsi="Century Gothic" w:cs="Times New Roman"/>
          <w:sz w:val="24"/>
          <w:szCs w:val="24"/>
        </w:rPr>
      </w:pPr>
    </w:p>
    <w:p w14:paraId="28A9E06C" w14:textId="4A8A9B0A" w:rsidR="003C136E" w:rsidRPr="00D87D07" w:rsidRDefault="00D87D07" w:rsidP="00852C9F">
      <w:pPr>
        <w:pStyle w:val="TextosemFormatao"/>
        <w:spacing w:line="360" w:lineRule="auto"/>
        <w:ind w:left="1" w:hanging="3"/>
        <w:jc w:val="center"/>
        <w:rPr>
          <w:rFonts w:ascii="Century Gothic" w:eastAsia="MS Mincho" w:hAnsi="Century Gothic" w:cs="Times New Roman"/>
          <w:sz w:val="24"/>
          <w:szCs w:val="24"/>
        </w:rPr>
      </w:pPr>
      <w:r w:rsidRPr="00D87D07">
        <w:rPr>
          <w:rFonts w:ascii="Century Gothic" w:eastAsia="MS Mincho" w:hAnsi="Century Gothic" w:cs="Times New Roman"/>
          <w:sz w:val="24"/>
          <w:szCs w:val="24"/>
        </w:rPr>
        <w:t>______________________________________________________</w:t>
      </w:r>
    </w:p>
    <w:p w14:paraId="7D0F8AA1" w14:textId="1CCD96AD" w:rsidR="00B60277" w:rsidRPr="00D87D07" w:rsidRDefault="00D87D07" w:rsidP="00852C9F">
      <w:pPr>
        <w:pStyle w:val="TextosemFormatao"/>
        <w:spacing w:line="360" w:lineRule="auto"/>
        <w:ind w:left="1" w:hanging="3"/>
        <w:jc w:val="center"/>
        <w:rPr>
          <w:rFonts w:ascii="Century Gothic" w:eastAsia="MS Mincho" w:hAnsi="Century Gothic" w:cs="Times New Roman"/>
          <w:b/>
          <w:sz w:val="24"/>
          <w:szCs w:val="24"/>
        </w:rPr>
      </w:pPr>
      <w:r w:rsidRPr="00D87D07">
        <w:rPr>
          <w:rFonts w:ascii="Century Gothic" w:eastAsia="MS Mincho" w:hAnsi="Century Gothic" w:cs="Times New Roman"/>
          <w:b/>
          <w:sz w:val="24"/>
          <w:szCs w:val="24"/>
        </w:rPr>
        <w:t xml:space="preserve">ALEXANDRO COÊLHO FERREIRA </w:t>
      </w:r>
    </w:p>
    <w:p w14:paraId="77CE58C8" w14:textId="16B56362" w:rsidR="00B60277" w:rsidRPr="00DD3B40" w:rsidRDefault="00D87D07" w:rsidP="00DB3AD7">
      <w:pPr>
        <w:pStyle w:val="TextosemFormatao"/>
        <w:spacing w:line="360" w:lineRule="auto"/>
        <w:ind w:left="1" w:hanging="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eastAsia="MS Mincho" w:hAnsi="Century Gothic" w:cs="Times New Roman"/>
          <w:b/>
          <w:sz w:val="24"/>
          <w:szCs w:val="24"/>
        </w:rPr>
        <w:t xml:space="preserve">Prefeito Municipal </w:t>
      </w:r>
    </w:p>
    <w:sectPr w:rsidR="00B60277" w:rsidRPr="00DD3B40" w:rsidSect="00891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1306B" w14:textId="77777777" w:rsidR="00F716C0" w:rsidRDefault="00F716C0" w:rsidP="003F318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5B220B" w14:textId="77777777" w:rsidR="00F716C0" w:rsidRDefault="00F716C0" w:rsidP="003F318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695A" w14:textId="77777777" w:rsidR="003F318A" w:rsidRDefault="003F318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0319" w14:textId="77777777" w:rsidR="003F318A" w:rsidRDefault="003F318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316F" w14:textId="77777777" w:rsidR="003F318A" w:rsidRDefault="003F318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1BBC" w14:textId="77777777" w:rsidR="00F716C0" w:rsidRDefault="00F716C0" w:rsidP="003F318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4AFC5D" w14:textId="77777777" w:rsidR="00F716C0" w:rsidRDefault="00F716C0" w:rsidP="003F318A">
      <w:pPr>
        <w:spacing w:after="0" w:line="240" w:lineRule="auto"/>
        <w:ind w:left="0" w:hanging="2"/>
      </w:pPr>
      <w:r>
        <w:continuationSeparator/>
      </w:r>
    </w:p>
  </w:footnote>
  <w:footnote w:id="1">
    <w:p w14:paraId="38364B7B" w14:textId="33D7BD9B" w:rsidR="00DB7E9B" w:rsidRPr="006F62DF" w:rsidRDefault="00DB7E9B">
      <w:pPr>
        <w:pStyle w:val="Textodenotaderodap"/>
        <w:rPr>
          <w:rFonts w:ascii="Garamond" w:hAnsi="Garamond"/>
          <w:sz w:val="16"/>
          <w:szCs w:val="16"/>
        </w:rPr>
      </w:pPr>
      <w:r w:rsidRPr="006F62DF">
        <w:rPr>
          <w:rStyle w:val="Refdenotaderodap"/>
          <w:rFonts w:ascii="Garamond" w:hAnsi="Garamond"/>
          <w:sz w:val="16"/>
          <w:szCs w:val="16"/>
        </w:rPr>
        <w:footnoteRef/>
      </w:r>
      <w:r w:rsidRPr="006F62DF">
        <w:rPr>
          <w:rFonts w:ascii="Garamond" w:hAnsi="Garamond"/>
          <w:sz w:val="16"/>
          <w:szCs w:val="16"/>
        </w:rPr>
        <w:t xml:space="preserve"> JUSTEN FILHO, Marçal. Comentários à lei de licitações e contratos administrativos. 11. Ed. São Paulo: Malheiros, 2005, p. 332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9924" w14:textId="77777777" w:rsidR="003F318A" w:rsidRDefault="003F318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33" w:type="pct"/>
      <w:tblInd w:w="-1026" w:type="dxa"/>
      <w:tblLook w:val="04A0" w:firstRow="1" w:lastRow="0" w:firstColumn="1" w:lastColumn="0" w:noHBand="0" w:noVBand="1"/>
    </w:tblPr>
    <w:tblGrid>
      <w:gridCol w:w="3103"/>
      <w:gridCol w:w="7917"/>
    </w:tblGrid>
    <w:tr w:rsidR="003F318A" w14:paraId="3B7AE96A" w14:textId="77777777" w:rsidTr="00416C9C">
      <w:tc>
        <w:tcPr>
          <w:tcW w:w="1408" w:type="pct"/>
          <w:vAlign w:val="center"/>
          <w:hideMark/>
        </w:tcPr>
        <w:p w14:paraId="7B17C9AE" w14:textId="5468F488" w:rsidR="003F318A" w:rsidRDefault="003F318A" w:rsidP="003F318A">
          <w:pPr>
            <w:pStyle w:val="WW-Padro"/>
            <w:tabs>
              <w:tab w:val="left" w:pos="2289"/>
            </w:tabs>
            <w:spacing w:line="200" w:lineRule="atLeast"/>
            <w:ind w:hanging="2"/>
            <w:jc w:val="center"/>
            <w:rPr>
              <w:rFonts w:ascii="Arial" w:hAnsi="Arial" w:cs="Arial"/>
              <w:b/>
              <w:bCs/>
              <w:sz w:val="22"/>
              <w:szCs w:val="22"/>
              <w:lang w:val="pt-BR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  <w:lang w:val="pt-BR" w:eastAsia="pt-BR"/>
            </w:rPr>
            <w:drawing>
              <wp:inline distT="0" distB="0" distL="0" distR="0" wp14:anchorId="14577B09" wp14:editId="058B848E">
                <wp:extent cx="1714500" cy="115252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pct"/>
          <w:vAlign w:val="center"/>
          <w:hideMark/>
        </w:tcPr>
        <w:p w14:paraId="5AA10801" w14:textId="77777777" w:rsidR="003F318A" w:rsidRDefault="003F318A" w:rsidP="003F318A">
          <w:pPr>
            <w:pStyle w:val="WW-Padro"/>
            <w:tabs>
              <w:tab w:val="left" w:pos="2289"/>
            </w:tabs>
            <w:spacing w:line="200" w:lineRule="atLeast"/>
            <w:ind w:hanging="2"/>
            <w:jc w:val="center"/>
            <w:rPr>
              <w:rFonts w:ascii="Verdana" w:hAnsi="Verdana" w:cs="Arial"/>
              <w:b/>
              <w:bCs/>
              <w:szCs w:val="24"/>
              <w:lang w:val="pt-BR"/>
            </w:rPr>
          </w:pPr>
          <w:r>
            <w:rPr>
              <w:rFonts w:ascii="Verdana" w:hAnsi="Verdana" w:cs="Arial"/>
              <w:b/>
              <w:bCs/>
              <w:szCs w:val="24"/>
              <w:lang w:val="pt-BR"/>
            </w:rPr>
            <w:t>PREFEITURA MUNICIPAL DE DORES DO INDAIÁ</w:t>
          </w:r>
        </w:p>
        <w:p w14:paraId="6EBCE880" w14:textId="77777777" w:rsidR="003F318A" w:rsidRDefault="003F318A" w:rsidP="003F318A">
          <w:pPr>
            <w:pStyle w:val="WW-Padro"/>
            <w:tabs>
              <w:tab w:val="left" w:pos="2289"/>
            </w:tabs>
            <w:spacing w:line="200" w:lineRule="atLeast"/>
            <w:ind w:hanging="2"/>
            <w:jc w:val="center"/>
            <w:rPr>
              <w:rFonts w:ascii="Agency FB" w:hAnsi="Agency FB" w:cs="Arial"/>
              <w:b/>
              <w:bCs/>
              <w:sz w:val="22"/>
              <w:szCs w:val="22"/>
              <w:lang w:val="pt-BR"/>
            </w:rPr>
          </w:pPr>
          <w:r>
            <w:rPr>
              <w:rFonts w:ascii="Agency FB" w:hAnsi="Agency FB" w:cs="Arial"/>
              <w:b/>
              <w:bCs/>
              <w:sz w:val="22"/>
              <w:szCs w:val="22"/>
              <w:lang w:val="pt-BR"/>
            </w:rPr>
            <w:t>Estado de Minas Gerais – CNPJ 18.301.010/0001-22</w:t>
          </w:r>
        </w:p>
        <w:p w14:paraId="6030640B" w14:textId="77777777" w:rsidR="003F318A" w:rsidRDefault="003F318A" w:rsidP="003F318A">
          <w:pPr>
            <w:pStyle w:val="WW-Padro"/>
            <w:tabs>
              <w:tab w:val="left" w:pos="2289"/>
            </w:tabs>
            <w:spacing w:line="200" w:lineRule="atLeast"/>
            <w:ind w:hanging="2"/>
            <w:jc w:val="center"/>
            <w:rPr>
              <w:rFonts w:ascii="Arial" w:hAnsi="Arial" w:cs="Arial"/>
              <w:b/>
              <w:bCs/>
              <w:sz w:val="22"/>
              <w:szCs w:val="22"/>
              <w:lang w:val="pt-BR"/>
            </w:rPr>
          </w:pPr>
          <w:r>
            <w:rPr>
              <w:rFonts w:ascii="Agency FB" w:hAnsi="Agency FB" w:cs="Arial"/>
              <w:b/>
              <w:bCs/>
              <w:sz w:val="22"/>
              <w:szCs w:val="22"/>
              <w:lang w:val="pt-BR"/>
            </w:rPr>
            <w:t>Praça do Rosário, n.º268, Rosário, CEP 35.610-000</w:t>
          </w:r>
        </w:p>
      </w:tc>
    </w:tr>
  </w:tbl>
  <w:p w14:paraId="33C2F77D" w14:textId="15F93448" w:rsidR="003F318A" w:rsidRDefault="003F318A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8782" w14:textId="77777777" w:rsidR="003F318A" w:rsidRDefault="003F318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52CC1"/>
    <w:multiLevelType w:val="multilevel"/>
    <w:tmpl w:val="3DDC6E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  <w:b/>
      </w:rPr>
    </w:lvl>
  </w:abstractNum>
  <w:abstractNum w:abstractNumId="1" w15:restartNumberingAfterBreak="0">
    <w:nsid w:val="282D745F"/>
    <w:multiLevelType w:val="hybridMultilevel"/>
    <w:tmpl w:val="FCD2984C"/>
    <w:lvl w:ilvl="0" w:tplc="7B76EA2A">
      <w:start w:val="1"/>
      <w:numFmt w:val="upperLetter"/>
      <w:lvlText w:val="%1)"/>
      <w:lvlJc w:val="left"/>
      <w:pPr>
        <w:ind w:left="1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3" w:hanging="360"/>
      </w:pPr>
    </w:lvl>
    <w:lvl w:ilvl="2" w:tplc="0416001B" w:tentative="1">
      <w:start w:val="1"/>
      <w:numFmt w:val="lowerRoman"/>
      <w:lvlText w:val="%3."/>
      <w:lvlJc w:val="right"/>
      <w:pPr>
        <w:ind w:left="2933" w:hanging="180"/>
      </w:pPr>
    </w:lvl>
    <w:lvl w:ilvl="3" w:tplc="0416000F" w:tentative="1">
      <w:start w:val="1"/>
      <w:numFmt w:val="decimal"/>
      <w:lvlText w:val="%4."/>
      <w:lvlJc w:val="left"/>
      <w:pPr>
        <w:ind w:left="3653" w:hanging="360"/>
      </w:pPr>
    </w:lvl>
    <w:lvl w:ilvl="4" w:tplc="04160019" w:tentative="1">
      <w:start w:val="1"/>
      <w:numFmt w:val="lowerLetter"/>
      <w:lvlText w:val="%5."/>
      <w:lvlJc w:val="left"/>
      <w:pPr>
        <w:ind w:left="4373" w:hanging="360"/>
      </w:pPr>
    </w:lvl>
    <w:lvl w:ilvl="5" w:tplc="0416001B" w:tentative="1">
      <w:start w:val="1"/>
      <w:numFmt w:val="lowerRoman"/>
      <w:lvlText w:val="%6."/>
      <w:lvlJc w:val="right"/>
      <w:pPr>
        <w:ind w:left="5093" w:hanging="180"/>
      </w:pPr>
    </w:lvl>
    <w:lvl w:ilvl="6" w:tplc="0416000F" w:tentative="1">
      <w:start w:val="1"/>
      <w:numFmt w:val="decimal"/>
      <w:lvlText w:val="%7."/>
      <w:lvlJc w:val="left"/>
      <w:pPr>
        <w:ind w:left="5813" w:hanging="360"/>
      </w:pPr>
    </w:lvl>
    <w:lvl w:ilvl="7" w:tplc="04160019" w:tentative="1">
      <w:start w:val="1"/>
      <w:numFmt w:val="lowerLetter"/>
      <w:lvlText w:val="%8."/>
      <w:lvlJc w:val="left"/>
      <w:pPr>
        <w:ind w:left="6533" w:hanging="360"/>
      </w:pPr>
    </w:lvl>
    <w:lvl w:ilvl="8" w:tplc="0416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375A2BAB"/>
    <w:multiLevelType w:val="hybridMultilevel"/>
    <w:tmpl w:val="CF442284"/>
    <w:lvl w:ilvl="0" w:tplc="7EFE52F0">
      <w:start w:val="1"/>
      <w:numFmt w:val="bullet"/>
      <w:lvlText w:val="•"/>
      <w:lvlJc w:val="left"/>
      <w:pPr>
        <w:ind w:left="4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A64FAC">
      <w:start w:val="1"/>
      <w:numFmt w:val="bullet"/>
      <w:lvlText w:val="o"/>
      <w:lvlJc w:val="left"/>
      <w:pPr>
        <w:ind w:left="12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4EC358">
      <w:start w:val="1"/>
      <w:numFmt w:val="bullet"/>
      <w:lvlText w:val="▪"/>
      <w:lvlJc w:val="left"/>
      <w:pPr>
        <w:ind w:left="19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940DB2">
      <w:start w:val="1"/>
      <w:numFmt w:val="bullet"/>
      <w:lvlText w:val="•"/>
      <w:lvlJc w:val="left"/>
      <w:pPr>
        <w:ind w:left="26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70DFF4">
      <w:start w:val="1"/>
      <w:numFmt w:val="bullet"/>
      <w:lvlText w:val="o"/>
      <w:lvlJc w:val="left"/>
      <w:pPr>
        <w:ind w:left="3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28FAB0">
      <w:start w:val="1"/>
      <w:numFmt w:val="bullet"/>
      <w:lvlText w:val="▪"/>
      <w:lvlJc w:val="left"/>
      <w:pPr>
        <w:ind w:left="4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C61EC2">
      <w:start w:val="1"/>
      <w:numFmt w:val="bullet"/>
      <w:lvlText w:val="•"/>
      <w:lvlJc w:val="left"/>
      <w:pPr>
        <w:ind w:left="4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20F320">
      <w:start w:val="1"/>
      <w:numFmt w:val="bullet"/>
      <w:lvlText w:val="o"/>
      <w:lvlJc w:val="left"/>
      <w:pPr>
        <w:ind w:left="5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080D82">
      <w:start w:val="1"/>
      <w:numFmt w:val="bullet"/>
      <w:lvlText w:val="▪"/>
      <w:lvlJc w:val="left"/>
      <w:pPr>
        <w:ind w:left="6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FA78FE"/>
    <w:multiLevelType w:val="hybridMultilevel"/>
    <w:tmpl w:val="53C4E2D8"/>
    <w:lvl w:ilvl="0" w:tplc="FF26086C">
      <w:numFmt w:val="bullet"/>
      <w:lvlText w:val=""/>
      <w:lvlJc w:val="left"/>
      <w:pPr>
        <w:ind w:left="2558" w:hanging="1425"/>
      </w:pPr>
      <w:rPr>
        <w:rFonts w:ascii="Symbol" w:eastAsia="Calibri" w:hAnsi="Symbol" w:cs="Calibr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63A156BF"/>
    <w:multiLevelType w:val="hybridMultilevel"/>
    <w:tmpl w:val="303E387C"/>
    <w:lvl w:ilvl="0" w:tplc="0416000B">
      <w:start w:val="1"/>
      <w:numFmt w:val="bullet"/>
      <w:lvlText w:val=""/>
      <w:lvlJc w:val="left"/>
      <w:pPr>
        <w:ind w:left="18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142698323">
    <w:abstractNumId w:val="2"/>
  </w:num>
  <w:num w:numId="2" w16cid:durableId="1848710871">
    <w:abstractNumId w:val="0"/>
  </w:num>
  <w:num w:numId="3" w16cid:durableId="764157525">
    <w:abstractNumId w:val="1"/>
  </w:num>
  <w:num w:numId="4" w16cid:durableId="1029377191">
    <w:abstractNumId w:val="4"/>
  </w:num>
  <w:num w:numId="5" w16cid:durableId="1317490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D4D"/>
    <w:rsid w:val="0000725A"/>
    <w:rsid w:val="00026290"/>
    <w:rsid w:val="00045C4E"/>
    <w:rsid w:val="000507D8"/>
    <w:rsid w:val="000527D6"/>
    <w:rsid w:val="0005303C"/>
    <w:rsid w:val="000531FD"/>
    <w:rsid w:val="000579C7"/>
    <w:rsid w:val="000765EC"/>
    <w:rsid w:val="00082D7E"/>
    <w:rsid w:val="00091969"/>
    <w:rsid w:val="00091A72"/>
    <w:rsid w:val="000A4D18"/>
    <w:rsid w:val="000A75CC"/>
    <w:rsid w:val="000B2E80"/>
    <w:rsid w:val="000E7E02"/>
    <w:rsid w:val="000F350C"/>
    <w:rsid w:val="001072F2"/>
    <w:rsid w:val="00107807"/>
    <w:rsid w:val="001132D1"/>
    <w:rsid w:val="00121348"/>
    <w:rsid w:val="00154705"/>
    <w:rsid w:val="00170174"/>
    <w:rsid w:val="001F1BE9"/>
    <w:rsid w:val="00214968"/>
    <w:rsid w:val="00216568"/>
    <w:rsid w:val="00222CE7"/>
    <w:rsid w:val="00230058"/>
    <w:rsid w:val="002302B7"/>
    <w:rsid w:val="00240C29"/>
    <w:rsid w:val="00272E8A"/>
    <w:rsid w:val="0028474E"/>
    <w:rsid w:val="002A6E39"/>
    <w:rsid w:val="002C1605"/>
    <w:rsid w:val="002E5BB6"/>
    <w:rsid w:val="002F09F4"/>
    <w:rsid w:val="002F1376"/>
    <w:rsid w:val="00317B06"/>
    <w:rsid w:val="00336C1F"/>
    <w:rsid w:val="00360138"/>
    <w:rsid w:val="00372E9F"/>
    <w:rsid w:val="00375CE6"/>
    <w:rsid w:val="00387E6B"/>
    <w:rsid w:val="003C136E"/>
    <w:rsid w:val="003C6FCF"/>
    <w:rsid w:val="003D6137"/>
    <w:rsid w:val="003E2533"/>
    <w:rsid w:val="003F318A"/>
    <w:rsid w:val="00441107"/>
    <w:rsid w:val="00443D4D"/>
    <w:rsid w:val="00457485"/>
    <w:rsid w:val="00473307"/>
    <w:rsid w:val="00492BE9"/>
    <w:rsid w:val="00495A4D"/>
    <w:rsid w:val="004A266F"/>
    <w:rsid w:val="004A5C0A"/>
    <w:rsid w:val="004A635C"/>
    <w:rsid w:val="004B7830"/>
    <w:rsid w:val="004C150B"/>
    <w:rsid w:val="004D0521"/>
    <w:rsid w:val="004E6FBB"/>
    <w:rsid w:val="004F1758"/>
    <w:rsid w:val="004F1904"/>
    <w:rsid w:val="004F23D3"/>
    <w:rsid w:val="00500010"/>
    <w:rsid w:val="0050524E"/>
    <w:rsid w:val="00507340"/>
    <w:rsid w:val="0051257D"/>
    <w:rsid w:val="0052459C"/>
    <w:rsid w:val="00533863"/>
    <w:rsid w:val="005338D4"/>
    <w:rsid w:val="00535F9C"/>
    <w:rsid w:val="005365C9"/>
    <w:rsid w:val="005370A1"/>
    <w:rsid w:val="00545F06"/>
    <w:rsid w:val="00557940"/>
    <w:rsid w:val="005643CF"/>
    <w:rsid w:val="00581793"/>
    <w:rsid w:val="005A314C"/>
    <w:rsid w:val="005D5463"/>
    <w:rsid w:val="005D643E"/>
    <w:rsid w:val="00631826"/>
    <w:rsid w:val="00641900"/>
    <w:rsid w:val="00647581"/>
    <w:rsid w:val="00653D69"/>
    <w:rsid w:val="006705A7"/>
    <w:rsid w:val="00685EAF"/>
    <w:rsid w:val="006D25BB"/>
    <w:rsid w:val="006F62DF"/>
    <w:rsid w:val="00700E6F"/>
    <w:rsid w:val="00701FFF"/>
    <w:rsid w:val="007101FF"/>
    <w:rsid w:val="00710BFD"/>
    <w:rsid w:val="00741DD8"/>
    <w:rsid w:val="00744A5A"/>
    <w:rsid w:val="0074753B"/>
    <w:rsid w:val="00761373"/>
    <w:rsid w:val="00764799"/>
    <w:rsid w:val="007773FD"/>
    <w:rsid w:val="00796996"/>
    <w:rsid w:val="007B4A09"/>
    <w:rsid w:val="007C0CF3"/>
    <w:rsid w:val="007C37E3"/>
    <w:rsid w:val="007C488C"/>
    <w:rsid w:val="007D20C1"/>
    <w:rsid w:val="007E42BD"/>
    <w:rsid w:val="007E7F42"/>
    <w:rsid w:val="007F4E0E"/>
    <w:rsid w:val="0080192F"/>
    <w:rsid w:val="00801C62"/>
    <w:rsid w:val="00801DED"/>
    <w:rsid w:val="0080582A"/>
    <w:rsid w:val="00812DC8"/>
    <w:rsid w:val="008160D3"/>
    <w:rsid w:val="008457E0"/>
    <w:rsid w:val="00850971"/>
    <w:rsid w:val="00852C9F"/>
    <w:rsid w:val="00880CE3"/>
    <w:rsid w:val="00891310"/>
    <w:rsid w:val="008A05C2"/>
    <w:rsid w:val="008C2145"/>
    <w:rsid w:val="008E49CF"/>
    <w:rsid w:val="00912B20"/>
    <w:rsid w:val="00914254"/>
    <w:rsid w:val="00927A1F"/>
    <w:rsid w:val="0095633C"/>
    <w:rsid w:val="00963C06"/>
    <w:rsid w:val="0097064D"/>
    <w:rsid w:val="00982891"/>
    <w:rsid w:val="009B6E92"/>
    <w:rsid w:val="009C3138"/>
    <w:rsid w:val="009C6C00"/>
    <w:rsid w:val="009D66CF"/>
    <w:rsid w:val="009F6220"/>
    <w:rsid w:val="00A0401A"/>
    <w:rsid w:val="00A15AE9"/>
    <w:rsid w:val="00A4349F"/>
    <w:rsid w:val="00A443B3"/>
    <w:rsid w:val="00A44E94"/>
    <w:rsid w:val="00A53AAB"/>
    <w:rsid w:val="00A53FD2"/>
    <w:rsid w:val="00A636EA"/>
    <w:rsid w:val="00A659FD"/>
    <w:rsid w:val="00A801AB"/>
    <w:rsid w:val="00AB0E39"/>
    <w:rsid w:val="00AB5296"/>
    <w:rsid w:val="00AC5B38"/>
    <w:rsid w:val="00AE6B6B"/>
    <w:rsid w:val="00AF048F"/>
    <w:rsid w:val="00B04EAF"/>
    <w:rsid w:val="00B11040"/>
    <w:rsid w:val="00B16195"/>
    <w:rsid w:val="00B2714A"/>
    <w:rsid w:val="00B34893"/>
    <w:rsid w:val="00B34AAA"/>
    <w:rsid w:val="00B41B3D"/>
    <w:rsid w:val="00B54BD7"/>
    <w:rsid w:val="00B56DE5"/>
    <w:rsid w:val="00B60232"/>
    <w:rsid w:val="00B60277"/>
    <w:rsid w:val="00B7475D"/>
    <w:rsid w:val="00B819CF"/>
    <w:rsid w:val="00BA1391"/>
    <w:rsid w:val="00BA3F32"/>
    <w:rsid w:val="00BF06F9"/>
    <w:rsid w:val="00C03C61"/>
    <w:rsid w:val="00C25DF4"/>
    <w:rsid w:val="00C2672E"/>
    <w:rsid w:val="00C41426"/>
    <w:rsid w:val="00C47500"/>
    <w:rsid w:val="00C54C92"/>
    <w:rsid w:val="00C640EE"/>
    <w:rsid w:val="00C65FC7"/>
    <w:rsid w:val="00C726B2"/>
    <w:rsid w:val="00C72F07"/>
    <w:rsid w:val="00C76798"/>
    <w:rsid w:val="00C77871"/>
    <w:rsid w:val="00C80E49"/>
    <w:rsid w:val="00C90790"/>
    <w:rsid w:val="00C92C09"/>
    <w:rsid w:val="00CC4436"/>
    <w:rsid w:val="00CC6E21"/>
    <w:rsid w:val="00CC768F"/>
    <w:rsid w:val="00CE3807"/>
    <w:rsid w:val="00CF7162"/>
    <w:rsid w:val="00D019DB"/>
    <w:rsid w:val="00D07A8F"/>
    <w:rsid w:val="00D11A05"/>
    <w:rsid w:val="00D12D43"/>
    <w:rsid w:val="00D55422"/>
    <w:rsid w:val="00D614B1"/>
    <w:rsid w:val="00D87D07"/>
    <w:rsid w:val="00D92560"/>
    <w:rsid w:val="00DA0B12"/>
    <w:rsid w:val="00DA7337"/>
    <w:rsid w:val="00DB3AD7"/>
    <w:rsid w:val="00DB4EDC"/>
    <w:rsid w:val="00DB6CF0"/>
    <w:rsid w:val="00DB7E9B"/>
    <w:rsid w:val="00DD3B40"/>
    <w:rsid w:val="00DF612D"/>
    <w:rsid w:val="00E01E9F"/>
    <w:rsid w:val="00E02574"/>
    <w:rsid w:val="00E11472"/>
    <w:rsid w:val="00E14EFA"/>
    <w:rsid w:val="00E27788"/>
    <w:rsid w:val="00E47F03"/>
    <w:rsid w:val="00E518F9"/>
    <w:rsid w:val="00E63413"/>
    <w:rsid w:val="00E64421"/>
    <w:rsid w:val="00E83EA1"/>
    <w:rsid w:val="00EA560C"/>
    <w:rsid w:val="00ED7AEE"/>
    <w:rsid w:val="00EE7D7D"/>
    <w:rsid w:val="00F1580A"/>
    <w:rsid w:val="00F356AC"/>
    <w:rsid w:val="00F42BEF"/>
    <w:rsid w:val="00F47A0E"/>
    <w:rsid w:val="00F57C28"/>
    <w:rsid w:val="00F65C52"/>
    <w:rsid w:val="00F716C0"/>
    <w:rsid w:val="00F82EE1"/>
    <w:rsid w:val="00F93939"/>
    <w:rsid w:val="00FA7D94"/>
    <w:rsid w:val="00FC5551"/>
    <w:rsid w:val="00FC7C82"/>
    <w:rsid w:val="00FD471D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1FA2"/>
  <w15:docId w15:val="{382461F0-A394-4D6B-B770-F0534AB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4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43D4D"/>
    <w:pPr>
      <w:suppressAutoHyphens/>
      <w:autoSpaceDE w:val="0"/>
      <w:autoSpaceDN w:val="0"/>
      <w:adjustRightInd w:val="0"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  <w:lang w:eastAsia="pt-BR"/>
    </w:rPr>
  </w:style>
  <w:style w:type="paragraph" w:styleId="SemEspaamento">
    <w:name w:val="No Spacing"/>
    <w:uiPriority w:val="1"/>
    <w:qFormat/>
    <w:rsid w:val="00443D4D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styleId="Hyperlink">
    <w:name w:val="Hyperlink"/>
    <w:basedOn w:val="Fontepargpadro"/>
    <w:uiPriority w:val="99"/>
    <w:unhideWhenUsed/>
    <w:rsid w:val="00045C4E"/>
    <w:rPr>
      <w:color w:val="0000FF"/>
      <w:u w:val="single"/>
    </w:rPr>
  </w:style>
  <w:style w:type="character" w:customStyle="1" w:styleId="fontstyle01">
    <w:name w:val="fontstyle01"/>
    <w:basedOn w:val="Fontepargpadro"/>
    <w:rsid w:val="005D5463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F3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18A"/>
    <w:rPr>
      <w:rFonts w:ascii="Calibri" w:eastAsia="Calibri" w:hAnsi="Calibri" w:cs="Calibri"/>
      <w:position w:val="-1"/>
    </w:rPr>
  </w:style>
  <w:style w:type="paragraph" w:styleId="Rodap">
    <w:name w:val="footer"/>
    <w:basedOn w:val="Normal"/>
    <w:link w:val="RodapChar"/>
    <w:uiPriority w:val="99"/>
    <w:unhideWhenUsed/>
    <w:rsid w:val="003F3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18A"/>
    <w:rPr>
      <w:rFonts w:ascii="Calibri" w:eastAsia="Calibri" w:hAnsi="Calibri" w:cs="Calibri"/>
      <w:position w:val="-1"/>
    </w:rPr>
  </w:style>
  <w:style w:type="paragraph" w:customStyle="1" w:styleId="WW-Padro">
    <w:name w:val="WW-Padrão"/>
    <w:rsid w:val="003F318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styleId="PargrafodaLista">
    <w:name w:val="List Paragraph"/>
    <w:basedOn w:val="Normal"/>
    <w:uiPriority w:val="34"/>
    <w:qFormat/>
    <w:rsid w:val="00E277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C61"/>
    <w:rPr>
      <w:rFonts w:ascii="Tahoma" w:eastAsia="Calibri" w:hAnsi="Tahoma" w:cs="Tahoma"/>
      <w:position w:val="-1"/>
      <w:sz w:val="16"/>
      <w:szCs w:val="16"/>
    </w:rPr>
  </w:style>
  <w:style w:type="table" w:styleId="Tabelacomgrade">
    <w:name w:val="Table Grid"/>
    <w:basedOn w:val="Tabelanormal"/>
    <w:uiPriority w:val="59"/>
    <w:rsid w:val="00F356A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356AC"/>
    <w:pPr>
      <w:widowControl w:val="0"/>
      <w:suppressAutoHyphens w:val="0"/>
      <w:autoSpaceDE w:val="0"/>
      <w:autoSpaceDN w:val="0"/>
      <w:spacing w:after="0" w:line="240" w:lineRule="auto"/>
      <w:ind w:leftChars="0" w:left="101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56AC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356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56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56AC"/>
    <w:rPr>
      <w:rFonts w:ascii="Calibri" w:eastAsia="Calibri" w:hAnsi="Calibri" w:cs="Calibri"/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56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56AC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Textodenotaderodap">
    <w:name w:val="footnote text"/>
    <w:basedOn w:val="Normal"/>
    <w:link w:val="TextodenotaderodapChar"/>
    <w:rsid w:val="00B6027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602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B60277"/>
    <w:rPr>
      <w:vertAlign w:val="superscript"/>
    </w:rPr>
  </w:style>
  <w:style w:type="paragraph" w:styleId="TextosemFormatao">
    <w:name w:val="Plain Text"/>
    <w:aliases w:val="Texto simples"/>
    <w:basedOn w:val="Normal"/>
    <w:link w:val="TextosemFormataoChar"/>
    <w:rsid w:val="00B6027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B6027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0C34-5367-4C12-9FED-65A3A6EC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2228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Tamiris Oliveira</dc:creator>
  <cp:lastModifiedBy>ROANE</cp:lastModifiedBy>
  <cp:revision>5</cp:revision>
  <cp:lastPrinted>2024-06-24T12:50:00Z</cp:lastPrinted>
  <dcterms:created xsi:type="dcterms:W3CDTF">2024-06-24T12:16:00Z</dcterms:created>
  <dcterms:modified xsi:type="dcterms:W3CDTF">2024-06-24T12:50:00Z</dcterms:modified>
</cp:coreProperties>
</file>